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5" w:type="dxa"/>
        <w:tblLayout w:type="fixed"/>
        <w:tblLook w:val="04A0" w:firstRow="1" w:lastRow="0" w:firstColumn="1" w:lastColumn="0" w:noHBand="0" w:noVBand="1"/>
      </w:tblPr>
      <w:tblGrid>
        <w:gridCol w:w="1824"/>
        <w:gridCol w:w="7191"/>
      </w:tblGrid>
      <w:tr w:rsidR="00EA71C4" w14:paraId="2D76CD11" w14:textId="77777777" w:rsidTr="5F5AA3FB">
        <w:trPr>
          <w:trHeight w:val="735"/>
        </w:trPr>
        <w:tc>
          <w:tcPr>
            <w:tcW w:w="9015" w:type="dxa"/>
            <w:gridSpan w:val="2"/>
          </w:tcPr>
          <w:p w14:paraId="7265262F" w14:textId="4DD6D144" w:rsidR="00EA71C4" w:rsidRDefault="00E17F44" w:rsidP="00F61DD9">
            <w:pPr>
              <w:pStyle w:val="OCCBody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</w:rPr>
              <w:t>Job Description</w:t>
            </w:r>
          </w:p>
        </w:tc>
      </w:tr>
      <w:tr w:rsidR="00EA71C4" w14:paraId="5818A5FC" w14:textId="77777777" w:rsidTr="5F5AA3FB">
        <w:tc>
          <w:tcPr>
            <w:tcW w:w="1824" w:type="dxa"/>
          </w:tcPr>
          <w:p w14:paraId="41A5BF8C" w14:textId="77777777" w:rsidR="00EA71C4" w:rsidRDefault="00EA71C4" w:rsidP="00F61DD9">
            <w:pPr>
              <w:pStyle w:val="OCCBody"/>
              <w:rPr>
                <w:rFonts w:eastAsia="Arial" w:cs="Arial"/>
              </w:rPr>
            </w:pPr>
            <w:r w:rsidRPr="1731B846">
              <w:rPr>
                <w:rFonts w:eastAsia="Arial" w:cs="Arial"/>
                <w:b/>
                <w:bCs/>
              </w:rPr>
              <w:t>Role title</w:t>
            </w:r>
          </w:p>
          <w:p w14:paraId="0EB22472" w14:textId="77777777" w:rsidR="00EA71C4" w:rsidRDefault="00EA71C4" w:rsidP="00F61DD9">
            <w:pPr>
              <w:spacing w:line="300" w:lineRule="exact"/>
              <w:rPr>
                <w:rFonts w:ascii="Arial" w:eastAsia="Arial" w:hAnsi="Arial" w:cs="Arial"/>
              </w:rPr>
            </w:pPr>
          </w:p>
        </w:tc>
        <w:tc>
          <w:tcPr>
            <w:tcW w:w="7191" w:type="dxa"/>
          </w:tcPr>
          <w:p w14:paraId="616499F3" w14:textId="3A246EC8" w:rsidR="00133421" w:rsidRDefault="0085681A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 w:rsidRPr="0085681A">
              <w:rPr>
                <w:rFonts w:eastAsia="Arial" w:cs="Arial"/>
              </w:rPr>
              <w:t>Hospital-to-Community Interface Lead</w:t>
            </w:r>
            <w:r w:rsidR="001C795C">
              <w:rPr>
                <w:rFonts w:eastAsia="Arial" w:cs="Arial"/>
              </w:rPr>
              <w:t xml:space="preserve"> – Planned Care</w:t>
            </w:r>
          </w:p>
          <w:p w14:paraId="4BBE2184" w14:textId="7B722028" w:rsidR="005C4561" w:rsidRDefault="005C4561" w:rsidP="003E301C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EA71C4" w14:paraId="20172209" w14:textId="77777777" w:rsidTr="5F5AA3FB">
        <w:trPr>
          <w:trHeight w:val="1050"/>
        </w:trPr>
        <w:tc>
          <w:tcPr>
            <w:tcW w:w="1824" w:type="dxa"/>
          </w:tcPr>
          <w:p w14:paraId="44A49701" w14:textId="77777777" w:rsidR="00EA71C4" w:rsidRDefault="00EA71C4" w:rsidP="00F61DD9">
            <w:pPr>
              <w:pStyle w:val="OCCBody"/>
              <w:rPr>
                <w:rFonts w:eastAsia="Arial" w:cs="Arial"/>
              </w:rPr>
            </w:pPr>
            <w:r w:rsidRPr="1731B846">
              <w:rPr>
                <w:rFonts w:eastAsia="Arial" w:cs="Arial"/>
                <w:b/>
                <w:bCs/>
              </w:rPr>
              <w:t>Location(s)</w:t>
            </w:r>
          </w:p>
        </w:tc>
        <w:tc>
          <w:tcPr>
            <w:tcW w:w="7191" w:type="dxa"/>
          </w:tcPr>
          <w:p w14:paraId="4632D800" w14:textId="51CD75B3" w:rsidR="00E607D2" w:rsidRDefault="00E607D2" w:rsidP="5D41B183">
            <w:pPr>
              <w:pStyle w:val="OCCBody"/>
              <w:spacing w:line="276" w:lineRule="auto"/>
              <w:rPr>
                <w:rFonts w:eastAsia="Arial" w:cs="Arial"/>
                <w:lang w:val="en-US"/>
              </w:rPr>
            </w:pPr>
            <w:r w:rsidRPr="5D41B183">
              <w:rPr>
                <w:rFonts w:eastAsia="Arial" w:cs="Arial"/>
                <w:lang w:val="en-US"/>
              </w:rPr>
              <w:t xml:space="preserve">The post will be based at Osprey Court in South Bristol but there </w:t>
            </w:r>
            <w:r w:rsidR="5CE4552B" w:rsidRPr="5D41B183">
              <w:rPr>
                <w:rFonts w:eastAsia="Arial" w:cs="Arial"/>
                <w:lang w:val="en-US"/>
              </w:rPr>
              <w:t xml:space="preserve">will </w:t>
            </w:r>
            <w:r w:rsidRPr="5D41B183">
              <w:rPr>
                <w:rFonts w:eastAsia="Arial" w:cs="Arial"/>
                <w:lang w:val="en-US"/>
              </w:rPr>
              <w:t xml:space="preserve">be a requirement to work across the Bristol, North Somerset and South Gloucestershire (BNSSG) area. </w:t>
            </w:r>
          </w:p>
          <w:p w14:paraId="378262DA" w14:textId="54150A24" w:rsidR="00EA71C4" w:rsidRPr="00D65619" w:rsidRDefault="00EA71C4" w:rsidP="00F61DD9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385188" w14:paraId="13E6740E" w14:textId="77777777" w:rsidTr="5F5AA3FB">
        <w:trPr>
          <w:trHeight w:val="1050"/>
        </w:trPr>
        <w:tc>
          <w:tcPr>
            <w:tcW w:w="1824" w:type="dxa"/>
          </w:tcPr>
          <w:p w14:paraId="04D01D62" w14:textId="231E0546" w:rsidR="00385188" w:rsidRPr="1731B846" w:rsidRDefault="00385188" w:rsidP="00F61DD9">
            <w:pPr>
              <w:pStyle w:val="OCCBody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Working hours</w:t>
            </w:r>
          </w:p>
        </w:tc>
        <w:tc>
          <w:tcPr>
            <w:tcW w:w="7191" w:type="dxa"/>
          </w:tcPr>
          <w:p w14:paraId="00DB5E77" w14:textId="21DA014B" w:rsidR="52504DB5" w:rsidRDefault="00D66A9C" w:rsidP="5D41B183">
            <w:pPr>
              <w:pStyle w:val="OCCBody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52504DB5" w:rsidRPr="5D41B183">
              <w:rPr>
                <w:lang w:val="en-US"/>
              </w:rPr>
              <w:t xml:space="preserve"> hours per week</w:t>
            </w:r>
          </w:p>
          <w:p w14:paraId="357BF8A9" w14:textId="1CCED2BF" w:rsidR="002558F4" w:rsidRDefault="52504DB5" w:rsidP="5D41B183">
            <w:pPr>
              <w:pStyle w:val="OCCBody"/>
              <w:rPr>
                <w:lang w:val="en-US"/>
              </w:rPr>
            </w:pPr>
            <w:r w:rsidRPr="5D41B183">
              <w:rPr>
                <w:lang w:val="en-US"/>
              </w:rPr>
              <w:t xml:space="preserve">The </w:t>
            </w:r>
            <w:r w:rsidR="54F8B234" w:rsidRPr="5D41B183">
              <w:rPr>
                <w:lang w:val="en-US"/>
              </w:rPr>
              <w:t>ability</w:t>
            </w:r>
            <w:r w:rsidRPr="5D41B183">
              <w:rPr>
                <w:lang w:val="en-US"/>
              </w:rPr>
              <w:t xml:space="preserve"> to use these hours</w:t>
            </w:r>
            <w:r w:rsidR="5A86CB23" w:rsidRPr="5D41B183">
              <w:rPr>
                <w:lang w:val="en-US"/>
              </w:rPr>
              <w:t xml:space="preserve"> </w:t>
            </w:r>
            <w:r w:rsidRPr="5D41B183">
              <w:rPr>
                <w:lang w:val="en-US"/>
              </w:rPr>
              <w:t>flexib</w:t>
            </w:r>
            <w:r w:rsidR="3B6B6497" w:rsidRPr="5D41B183">
              <w:rPr>
                <w:lang w:val="en-US"/>
              </w:rPr>
              <w:t>ly</w:t>
            </w:r>
            <w:r w:rsidRPr="5D41B183">
              <w:rPr>
                <w:lang w:val="en-US"/>
              </w:rPr>
              <w:t xml:space="preserve"> across th</w:t>
            </w:r>
            <w:r w:rsidR="52E6F14E" w:rsidRPr="5D41B183">
              <w:rPr>
                <w:lang w:val="en-US"/>
              </w:rPr>
              <w:t xml:space="preserve">e </w:t>
            </w:r>
            <w:r w:rsidRPr="5D41B183">
              <w:rPr>
                <w:lang w:val="en-US"/>
              </w:rPr>
              <w:t xml:space="preserve">week </w:t>
            </w:r>
            <w:r w:rsidR="002558F4" w:rsidRPr="5D41B183">
              <w:rPr>
                <w:lang w:val="en-US"/>
              </w:rPr>
              <w:t xml:space="preserve">is required due to the nature of the </w:t>
            </w:r>
            <w:r w:rsidR="74720CB4" w:rsidRPr="5D41B183">
              <w:rPr>
                <w:lang w:val="en-US"/>
              </w:rPr>
              <w:t>work</w:t>
            </w:r>
          </w:p>
          <w:p w14:paraId="3F03E7F5" w14:textId="77777777" w:rsidR="00385188" w:rsidRPr="1731B846" w:rsidRDefault="00385188" w:rsidP="00E607D2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1E45CD" w14:paraId="06E70F06" w14:textId="77777777" w:rsidTr="5F5AA3FB">
        <w:trPr>
          <w:trHeight w:val="792"/>
        </w:trPr>
        <w:tc>
          <w:tcPr>
            <w:tcW w:w="1824" w:type="dxa"/>
          </w:tcPr>
          <w:p w14:paraId="2B7B244F" w14:textId="2C86E0E2" w:rsidR="001E45CD" w:rsidRPr="1731B846" w:rsidRDefault="001E45CD" w:rsidP="00F61DD9">
            <w:pPr>
              <w:pStyle w:val="OCCBody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Term</w:t>
            </w:r>
          </w:p>
        </w:tc>
        <w:tc>
          <w:tcPr>
            <w:tcW w:w="7191" w:type="dxa"/>
          </w:tcPr>
          <w:p w14:paraId="2E2CC750" w14:textId="4651394D" w:rsidR="001E45CD" w:rsidRPr="001E45CD" w:rsidRDefault="00F065A3" w:rsidP="00E607D2">
            <w:pPr>
              <w:pStyle w:val="OCCBody"/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Until 31 March 2027,</w:t>
            </w:r>
            <w:r w:rsidR="64147D61" w:rsidRPr="5D41B183">
              <w:rPr>
                <w:rFonts w:eastAsia="Arial" w:cs="Arial"/>
              </w:rPr>
              <w:t xml:space="preserve"> with the possibility of extension to 24 months</w:t>
            </w:r>
          </w:p>
        </w:tc>
      </w:tr>
      <w:tr w:rsidR="005A5383" w14:paraId="1D0E8894" w14:textId="77777777" w:rsidTr="5F5AA3FB">
        <w:trPr>
          <w:trHeight w:val="1050"/>
        </w:trPr>
        <w:tc>
          <w:tcPr>
            <w:tcW w:w="1824" w:type="dxa"/>
          </w:tcPr>
          <w:p w14:paraId="1182301B" w14:textId="58A2AA90" w:rsidR="005A5383" w:rsidRPr="005A5383" w:rsidRDefault="005A5383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005A5383">
              <w:rPr>
                <w:rFonts w:eastAsia="Arial" w:cs="Arial"/>
                <w:b/>
                <w:bCs/>
              </w:rPr>
              <w:t>Background</w:t>
            </w:r>
          </w:p>
        </w:tc>
        <w:tc>
          <w:tcPr>
            <w:tcW w:w="7191" w:type="dxa"/>
          </w:tcPr>
          <w:p w14:paraId="2A3ADCD8" w14:textId="6D98E7DE" w:rsidR="002E3435" w:rsidRDefault="7E01FC0C" w:rsidP="5D41B18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D41B183">
              <w:rPr>
                <w:rFonts w:ascii="Arial" w:hAnsi="Arial" w:cs="Arial"/>
                <w:sz w:val="22"/>
                <w:szCs w:val="22"/>
              </w:rPr>
              <w:t>The Clinical Lead</w:t>
            </w:r>
            <w:r w:rsidR="009865FF">
              <w:rPr>
                <w:rFonts w:ascii="Arial" w:hAnsi="Arial" w:cs="Arial"/>
                <w:sz w:val="22"/>
                <w:szCs w:val="22"/>
              </w:rPr>
              <w:t>ership m</w:t>
            </w:r>
            <w:r w:rsidRPr="5D41B183">
              <w:rPr>
                <w:rFonts w:ascii="Arial" w:hAnsi="Arial" w:cs="Arial"/>
                <w:sz w:val="22"/>
                <w:szCs w:val="22"/>
              </w:rPr>
              <w:t>odel provides a framework for leadership across BNSSG</w:t>
            </w:r>
            <w:r w:rsidR="006A30C5">
              <w:rPr>
                <w:rFonts w:ascii="Arial" w:hAnsi="Arial" w:cs="Arial"/>
                <w:sz w:val="22"/>
                <w:szCs w:val="22"/>
              </w:rPr>
              <w:t xml:space="preserve">.  It </w:t>
            </w:r>
            <w:r w:rsidRPr="5D41B183">
              <w:rPr>
                <w:rFonts w:ascii="Arial" w:hAnsi="Arial" w:cs="Arial"/>
                <w:sz w:val="22"/>
                <w:szCs w:val="22"/>
              </w:rPr>
              <w:t>supports integration between general practice, community and acute services</w:t>
            </w:r>
            <w:r w:rsidR="00927D37">
              <w:rPr>
                <w:rFonts w:ascii="Arial" w:hAnsi="Arial" w:cs="Arial"/>
                <w:sz w:val="22"/>
                <w:szCs w:val="22"/>
              </w:rPr>
              <w:t xml:space="preserve"> and is 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>aligned with the national direction set out by the 10-year plan</w:t>
            </w:r>
            <w:r w:rsidR="00B43E59">
              <w:rPr>
                <w:rFonts w:ascii="Arial" w:hAnsi="Arial" w:cs="Arial"/>
                <w:sz w:val="22"/>
                <w:szCs w:val="22"/>
              </w:rPr>
              <w:t xml:space="preserve"> which</w:t>
            </w:r>
            <w:r w:rsidR="008E67B3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 xml:space="preserve"> interpreted locally by the ICB system strategy </w:t>
            </w:r>
            <w:r w:rsidR="00CC3B06">
              <w:rPr>
                <w:rFonts w:ascii="Arial" w:hAnsi="Arial" w:cs="Arial"/>
                <w:sz w:val="22"/>
                <w:szCs w:val="22"/>
              </w:rPr>
              <w:t>‘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 xml:space="preserve">Healthier Together’ </w:t>
            </w:r>
            <w:r w:rsidR="00CC3B06">
              <w:rPr>
                <w:rFonts w:ascii="Arial" w:hAnsi="Arial" w:cs="Arial"/>
                <w:sz w:val="22"/>
                <w:szCs w:val="22"/>
              </w:rPr>
              <w:t>a</w:t>
            </w:r>
            <w:r w:rsidR="006A30C5">
              <w:rPr>
                <w:rFonts w:ascii="Arial" w:hAnsi="Arial" w:cs="Arial"/>
                <w:sz w:val="22"/>
                <w:szCs w:val="22"/>
              </w:rPr>
              <w:t xml:space="preserve">nd </w:t>
            </w:r>
            <w:r w:rsidR="008E67B3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6A30C5">
              <w:rPr>
                <w:rFonts w:ascii="Arial" w:hAnsi="Arial" w:cs="Arial"/>
                <w:sz w:val="22"/>
                <w:szCs w:val="22"/>
              </w:rPr>
              <w:t>laid out</w:t>
            </w:r>
            <w:r w:rsidR="008E67B3">
              <w:rPr>
                <w:rFonts w:ascii="Arial" w:hAnsi="Arial" w:cs="Arial"/>
                <w:sz w:val="22"/>
                <w:szCs w:val="22"/>
              </w:rPr>
              <w:t xml:space="preserve"> annually 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 w:rsidR="00CC3B06">
              <w:rPr>
                <w:rFonts w:ascii="Arial" w:hAnsi="Arial" w:cs="Arial"/>
                <w:sz w:val="22"/>
                <w:szCs w:val="22"/>
              </w:rPr>
              <w:t>J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 xml:space="preserve">oint </w:t>
            </w:r>
            <w:r w:rsidR="00CC3B06">
              <w:rPr>
                <w:rFonts w:ascii="Arial" w:hAnsi="Arial" w:cs="Arial"/>
                <w:sz w:val="22"/>
                <w:szCs w:val="22"/>
              </w:rPr>
              <w:t>F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 xml:space="preserve">orward </w:t>
            </w:r>
            <w:r w:rsidR="00CC3B06">
              <w:rPr>
                <w:rFonts w:ascii="Arial" w:hAnsi="Arial" w:cs="Arial"/>
                <w:sz w:val="22"/>
                <w:szCs w:val="22"/>
              </w:rPr>
              <w:t>P</w:t>
            </w:r>
            <w:r w:rsidR="002E3435" w:rsidRPr="002E3435">
              <w:rPr>
                <w:rFonts w:ascii="Arial" w:hAnsi="Arial" w:cs="Arial"/>
                <w:sz w:val="22"/>
                <w:szCs w:val="22"/>
              </w:rPr>
              <w:t>lan.</w:t>
            </w:r>
          </w:p>
          <w:p w14:paraId="6F36F65D" w14:textId="77777777" w:rsidR="002E3435" w:rsidRDefault="002E3435" w:rsidP="5D41B18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4E76494" w14:textId="7E6799A7" w:rsidR="7E01FC0C" w:rsidRDefault="7E01FC0C" w:rsidP="5D41B183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5D41B183">
              <w:rPr>
                <w:rFonts w:ascii="Arial" w:hAnsi="Arial" w:cs="Arial"/>
                <w:sz w:val="22"/>
                <w:szCs w:val="22"/>
              </w:rPr>
              <w:t xml:space="preserve">The model focuses </w:t>
            </w:r>
            <w:r w:rsidR="00442BD3">
              <w:rPr>
                <w:rFonts w:ascii="Arial" w:hAnsi="Arial" w:cs="Arial"/>
                <w:sz w:val="22"/>
                <w:szCs w:val="22"/>
              </w:rPr>
              <w:t xml:space="preserve">embedding </w:t>
            </w:r>
            <w:r w:rsidRPr="5D41B183">
              <w:rPr>
                <w:rFonts w:ascii="Arial" w:hAnsi="Arial" w:cs="Arial"/>
                <w:sz w:val="22"/>
                <w:szCs w:val="22"/>
              </w:rPr>
              <w:t xml:space="preserve">clinical leadership </w:t>
            </w:r>
            <w:r w:rsidR="00442BD3">
              <w:rPr>
                <w:rFonts w:ascii="Arial" w:hAnsi="Arial" w:cs="Arial"/>
                <w:sz w:val="22"/>
                <w:szCs w:val="22"/>
              </w:rPr>
              <w:t xml:space="preserve">in the </w:t>
            </w:r>
            <w:r w:rsidR="4AF13BD4" w:rsidRPr="5D41B183">
              <w:rPr>
                <w:rFonts w:ascii="Arial" w:hAnsi="Arial" w:cs="Arial"/>
                <w:sz w:val="22"/>
                <w:szCs w:val="22"/>
              </w:rPr>
              <w:t>three key areas of development:</w:t>
            </w:r>
          </w:p>
          <w:p w14:paraId="12C78D93" w14:textId="2E20E8B6" w:rsidR="009865FF" w:rsidRDefault="7E01FC0C" w:rsidP="005D55FE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9865FF">
              <w:rPr>
                <w:rFonts w:ascii="Arial" w:hAnsi="Arial" w:cs="Arial"/>
              </w:rPr>
              <w:t>neighbourhood development</w:t>
            </w:r>
            <w:r w:rsidR="009865FF">
              <w:rPr>
                <w:rFonts w:ascii="Arial" w:hAnsi="Arial" w:cs="Arial"/>
              </w:rPr>
              <w:t>, focus on prevention</w:t>
            </w:r>
          </w:p>
          <w:p w14:paraId="36C5C762" w14:textId="72422E36" w:rsidR="009865FF" w:rsidRDefault="7E01FC0C" w:rsidP="005D55FE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9865FF">
              <w:rPr>
                <w:rFonts w:ascii="Arial" w:hAnsi="Arial" w:cs="Arial"/>
              </w:rPr>
              <w:t xml:space="preserve">hospital-to-community </w:t>
            </w:r>
            <w:r w:rsidR="009865FF">
              <w:rPr>
                <w:rFonts w:ascii="Arial" w:hAnsi="Arial" w:cs="Arial"/>
              </w:rPr>
              <w:t>interface</w:t>
            </w:r>
            <w:r w:rsidR="007A3D42">
              <w:rPr>
                <w:rFonts w:ascii="Arial" w:hAnsi="Arial" w:cs="Arial"/>
              </w:rPr>
              <w:t>, including redesign</w:t>
            </w:r>
          </w:p>
          <w:p w14:paraId="065B7F3D" w14:textId="77777777" w:rsidR="009865FF" w:rsidRDefault="7E01FC0C" w:rsidP="005D55FE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Arial" w:hAnsi="Arial" w:cs="Arial"/>
              </w:rPr>
            </w:pPr>
            <w:r w:rsidRPr="009865FF">
              <w:rPr>
                <w:rFonts w:ascii="Arial" w:hAnsi="Arial" w:cs="Arial"/>
              </w:rPr>
              <w:t>moving from analogue</w:t>
            </w:r>
            <w:r w:rsidR="5E230AE5" w:rsidRPr="009865FF">
              <w:rPr>
                <w:rFonts w:ascii="Arial" w:hAnsi="Arial" w:cs="Arial"/>
              </w:rPr>
              <w:t xml:space="preserve"> </w:t>
            </w:r>
            <w:r w:rsidRPr="009865FF">
              <w:rPr>
                <w:rFonts w:ascii="Arial" w:hAnsi="Arial" w:cs="Arial"/>
              </w:rPr>
              <w:t>to</w:t>
            </w:r>
            <w:r w:rsidR="1A00C301" w:rsidRPr="009865FF">
              <w:rPr>
                <w:rFonts w:ascii="Arial" w:hAnsi="Arial" w:cs="Arial"/>
              </w:rPr>
              <w:t xml:space="preserve"> d</w:t>
            </w:r>
            <w:r w:rsidRPr="009865FF">
              <w:rPr>
                <w:rFonts w:ascii="Arial" w:hAnsi="Arial" w:cs="Arial"/>
              </w:rPr>
              <w:t xml:space="preserve">igital priorities </w:t>
            </w:r>
          </w:p>
          <w:p w14:paraId="487E9CB8" w14:textId="54825F49" w:rsidR="7E01FC0C" w:rsidRPr="00217F8B" w:rsidRDefault="009865FF" w:rsidP="009865F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17F8B">
              <w:rPr>
                <w:rFonts w:ascii="Arial" w:hAnsi="Arial" w:cs="Arial"/>
                <w:sz w:val="22"/>
                <w:szCs w:val="22"/>
              </w:rPr>
              <w:t xml:space="preserve">with the overall aim of </w:t>
            </w:r>
            <w:r w:rsidR="7E01FC0C" w:rsidRPr="00217F8B">
              <w:rPr>
                <w:rFonts w:ascii="Arial" w:hAnsi="Arial" w:cs="Arial"/>
                <w:sz w:val="22"/>
                <w:szCs w:val="22"/>
              </w:rPr>
              <w:t>improv</w:t>
            </w:r>
            <w:r w:rsidRPr="00217F8B">
              <w:rPr>
                <w:rFonts w:ascii="Arial" w:hAnsi="Arial" w:cs="Arial"/>
                <w:sz w:val="22"/>
                <w:szCs w:val="22"/>
              </w:rPr>
              <w:t>ing</w:t>
            </w:r>
            <w:r w:rsidR="7E01FC0C" w:rsidRPr="00217F8B">
              <w:rPr>
                <w:rFonts w:ascii="Arial" w:hAnsi="Arial" w:cs="Arial"/>
                <w:sz w:val="22"/>
                <w:szCs w:val="22"/>
              </w:rPr>
              <w:t xml:space="preserve"> population health</w:t>
            </w:r>
            <w:r w:rsidR="0047363F">
              <w:rPr>
                <w:rFonts w:ascii="Arial" w:hAnsi="Arial" w:cs="Arial"/>
                <w:sz w:val="22"/>
                <w:szCs w:val="22"/>
              </w:rPr>
              <w:t xml:space="preserve"> and outcomes</w:t>
            </w:r>
            <w:r w:rsidR="7E01FC0C" w:rsidRPr="00217F8B">
              <w:rPr>
                <w:rFonts w:ascii="Arial" w:hAnsi="Arial" w:cs="Arial"/>
                <w:sz w:val="22"/>
                <w:szCs w:val="22"/>
              </w:rPr>
              <w:t>, equity, and sustainability</w:t>
            </w:r>
            <w:r w:rsidR="00F93A70">
              <w:rPr>
                <w:rFonts w:ascii="Arial" w:hAnsi="Arial" w:cs="Arial"/>
                <w:sz w:val="22"/>
                <w:szCs w:val="22"/>
              </w:rPr>
              <w:t xml:space="preserve"> of services</w:t>
            </w:r>
            <w:r w:rsidR="7E01FC0C" w:rsidRPr="00217F8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321FAC" w14:textId="77777777" w:rsidR="009865FF" w:rsidRPr="009865FF" w:rsidRDefault="009865FF" w:rsidP="009865FF">
            <w:pPr>
              <w:spacing w:line="259" w:lineRule="auto"/>
              <w:rPr>
                <w:rFonts w:ascii="Arial" w:hAnsi="Arial" w:cs="Arial"/>
              </w:rPr>
            </w:pPr>
          </w:p>
          <w:p w14:paraId="0BA64ED5" w14:textId="401CC40F" w:rsidR="7E01FC0C" w:rsidRDefault="7E01FC0C" w:rsidP="5D41B183">
            <w:pPr>
              <w:spacing w:line="259" w:lineRule="auto"/>
            </w:pPr>
            <w:r w:rsidRPr="5D41B183">
              <w:rPr>
                <w:rFonts w:ascii="Arial" w:hAnsi="Arial" w:cs="Arial"/>
                <w:sz w:val="22"/>
                <w:szCs w:val="22"/>
              </w:rPr>
              <w:t>Each category of Clinical Lead plays a distinct but connected role in shaping system transformation, strengthening partnerships, and embedding clinical insight into decision-making.</w:t>
            </w:r>
            <w:r w:rsidR="00A631E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4A7C4922" w14:textId="77777777" w:rsidR="00B1556F" w:rsidRPr="001E45CD" w:rsidRDefault="00B1556F" w:rsidP="00E607D2">
            <w:pPr>
              <w:pStyle w:val="OCCBody"/>
              <w:spacing w:line="276" w:lineRule="auto"/>
              <w:rPr>
                <w:rFonts w:eastAsia="Arial" w:cs="Arial"/>
              </w:rPr>
            </w:pPr>
          </w:p>
        </w:tc>
      </w:tr>
      <w:tr w:rsidR="00682C94" w14:paraId="3502E91D" w14:textId="77777777" w:rsidTr="5F5AA3FB">
        <w:trPr>
          <w:trHeight w:val="1050"/>
        </w:trPr>
        <w:tc>
          <w:tcPr>
            <w:tcW w:w="1824" w:type="dxa"/>
          </w:tcPr>
          <w:p w14:paraId="01CEFF3E" w14:textId="4662DE57" w:rsidR="00682C94" w:rsidRPr="1731B846" w:rsidRDefault="00682C94" w:rsidP="00F61DD9">
            <w:pPr>
              <w:pStyle w:val="OCCBody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Job Purpose</w:t>
            </w:r>
          </w:p>
        </w:tc>
        <w:tc>
          <w:tcPr>
            <w:tcW w:w="7191" w:type="dxa"/>
          </w:tcPr>
          <w:p w14:paraId="14A8911B" w14:textId="1E1F02D5" w:rsidR="009837A1" w:rsidRDefault="009837A1" w:rsidP="5F5AA3FB">
            <w:pPr>
              <w:pStyle w:val="OCCBody"/>
              <w:spacing w:line="276" w:lineRule="auto"/>
              <w:rPr>
                <w:rFonts w:cs="Arial"/>
                <w:lang w:val="en-US" w:eastAsia="en-GB"/>
              </w:rPr>
            </w:pPr>
            <w:r w:rsidRPr="5F5AA3FB">
              <w:rPr>
                <w:rFonts w:cs="Arial"/>
                <w:lang w:val="en-US" w:eastAsia="en-GB"/>
              </w:rPr>
              <w:t xml:space="preserve">The </w:t>
            </w:r>
            <w:r w:rsidR="00E94FCE" w:rsidRPr="5F5AA3FB">
              <w:rPr>
                <w:rFonts w:cs="Arial"/>
                <w:lang w:val="en-US" w:eastAsia="en-GB"/>
              </w:rPr>
              <w:t>role of the Clinical leads is to be a credible source of general practice expertise</w:t>
            </w:r>
            <w:r w:rsidR="00217F8B" w:rsidRPr="5F5AA3FB">
              <w:rPr>
                <w:rFonts w:cs="Arial"/>
                <w:lang w:val="en-US" w:eastAsia="en-GB"/>
              </w:rPr>
              <w:t>,</w:t>
            </w:r>
            <w:r w:rsidR="00E94FCE" w:rsidRPr="5F5AA3FB">
              <w:rPr>
                <w:rFonts w:cs="Arial"/>
                <w:lang w:val="en-US" w:eastAsia="en-GB"/>
              </w:rPr>
              <w:t xml:space="preserve"> available to work with all system partners to</w:t>
            </w:r>
            <w:r w:rsidRPr="5F5AA3FB">
              <w:rPr>
                <w:rFonts w:cs="Arial"/>
                <w:lang w:val="en-US" w:eastAsia="en-GB"/>
              </w:rPr>
              <w:t xml:space="preserve"> enhance cross-system collaboration</w:t>
            </w:r>
            <w:r w:rsidR="00E94FCE" w:rsidRPr="5F5AA3FB">
              <w:rPr>
                <w:rFonts w:cs="Arial"/>
                <w:lang w:val="en-US" w:eastAsia="en-GB"/>
              </w:rPr>
              <w:t>.  As well as representing wider general practice they will need to be guided by feedback from GPCB to ensure formal endorsement of new pathways or principles of working.</w:t>
            </w:r>
          </w:p>
          <w:p w14:paraId="63A3B035" w14:textId="77777777" w:rsidR="00A96C4D" w:rsidRDefault="00A96C4D" w:rsidP="5D41B183">
            <w:pPr>
              <w:pStyle w:val="OCCBody"/>
              <w:spacing w:line="276" w:lineRule="auto"/>
              <w:rPr>
                <w:rFonts w:cs="Arial"/>
                <w:lang w:eastAsia="en-GB"/>
              </w:rPr>
            </w:pPr>
          </w:p>
          <w:p w14:paraId="2CD7573B" w14:textId="04ADB771" w:rsidR="00B43E59" w:rsidRPr="009837A1" w:rsidRDefault="00B43E59" w:rsidP="5F5AA3FB">
            <w:pPr>
              <w:pStyle w:val="OCCBody"/>
              <w:spacing w:line="276" w:lineRule="auto"/>
              <w:rPr>
                <w:rFonts w:cs="Arial"/>
                <w:lang w:val="en-US" w:eastAsia="en-GB"/>
              </w:rPr>
            </w:pPr>
            <w:r w:rsidRPr="5F5AA3FB">
              <w:rPr>
                <w:rFonts w:cs="Arial"/>
                <w:lang w:val="en-US" w:eastAsia="en-GB"/>
              </w:rPr>
              <w:t>Due to the potential breadth of demands</w:t>
            </w:r>
            <w:r w:rsidR="00A96C4D" w:rsidRPr="5F5AA3FB">
              <w:rPr>
                <w:rFonts w:cs="Arial"/>
                <w:lang w:val="en-US" w:eastAsia="en-GB"/>
              </w:rPr>
              <w:t xml:space="preserve"> the </w:t>
            </w:r>
            <w:r w:rsidRPr="5F5AA3FB">
              <w:rPr>
                <w:rFonts w:cs="Arial"/>
                <w:lang w:val="en-US" w:eastAsia="en-GB"/>
              </w:rPr>
              <w:t xml:space="preserve">GPCB and the ICB </w:t>
            </w:r>
            <w:r w:rsidR="00A96C4D" w:rsidRPr="5F5AA3FB">
              <w:rPr>
                <w:rFonts w:cs="Arial"/>
                <w:lang w:val="en-US" w:eastAsia="en-GB"/>
              </w:rPr>
              <w:t xml:space="preserve">leadership teams </w:t>
            </w:r>
            <w:r w:rsidRPr="5F5AA3FB">
              <w:rPr>
                <w:rFonts w:cs="Arial"/>
                <w:lang w:val="en-US" w:eastAsia="en-GB"/>
              </w:rPr>
              <w:t>will agree annually how the clinical leadership resource will be allocated</w:t>
            </w:r>
            <w:r w:rsidR="00A96C4D" w:rsidRPr="5F5AA3FB">
              <w:rPr>
                <w:rFonts w:cs="Arial"/>
                <w:lang w:val="en-US" w:eastAsia="en-GB"/>
              </w:rPr>
              <w:t>,</w:t>
            </w:r>
            <w:r w:rsidRPr="5F5AA3FB">
              <w:rPr>
                <w:rFonts w:cs="Arial"/>
                <w:lang w:val="en-US" w:eastAsia="en-GB"/>
              </w:rPr>
              <w:t xml:space="preserve"> adapting flexibly to address needs but based within the 3 themes set out below.  The GPCB MD will work with the ICB C</w:t>
            </w:r>
            <w:r w:rsidR="003022CB" w:rsidRPr="5F5AA3FB">
              <w:rPr>
                <w:rFonts w:cs="Arial"/>
                <w:lang w:val="en-US" w:eastAsia="en-GB"/>
              </w:rPr>
              <w:t>CDO</w:t>
            </w:r>
            <w:r w:rsidRPr="5F5AA3FB">
              <w:rPr>
                <w:rFonts w:cs="Arial"/>
                <w:lang w:val="en-US" w:eastAsia="en-GB"/>
              </w:rPr>
              <w:t xml:space="preserve"> in the final quarter of </w:t>
            </w:r>
            <w:r w:rsidR="00822454" w:rsidRPr="5F5AA3FB">
              <w:rPr>
                <w:rFonts w:cs="Arial"/>
                <w:lang w:val="en-US" w:eastAsia="en-GB"/>
              </w:rPr>
              <w:t>each</w:t>
            </w:r>
            <w:r w:rsidRPr="5F5AA3FB">
              <w:rPr>
                <w:rFonts w:cs="Arial"/>
                <w:lang w:val="en-US" w:eastAsia="en-GB"/>
              </w:rPr>
              <w:t xml:space="preserve"> year to agree th</w:t>
            </w:r>
            <w:r w:rsidR="005F518A" w:rsidRPr="5F5AA3FB">
              <w:rPr>
                <w:rFonts w:cs="Arial"/>
                <w:lang w:val="en-US" w:eastAsia="en-GB"/>
              </w:rPr>
              <w:t xml:space="preserve">e </w:t>
            </w:r>
            <w:r w:rsidRPr="5F5AA3FB">
              <w:rPr>
                <w:rFonts w:cs="Arial"/>
                <w:lang w:val="en-US" w:eastAsia="en-GB"/>
              </w:rPr>
              <w:t>prioritisation and</w:t>
            </w:r>
            <w:r w:rsidR="00E42EE2" w:rsidRPr="5F5AA3FB">
              <w:rPr>
                <w:rFonts w:cs="Arial"/>
                <w:lang w:val="en-US" w:eastAsia="en-GB"/>
              </w:rPr>
              <w:t>,</w:t>
            </w:r>
            <w:r w:rsidRPr="5F5AA3FB">
              <w:rPr>
                <w:rFonts w:cs="Arial"/>
                <w:lang w:val="en-US" w:eastAsia="en-GB"/>
              </w:rPr>
              <w:t xml:space="preserve"> using a formal job planning structure</w:t>
            </w:r>
            <w:r w:rsidR="00E42EE2" w:rsidRPr="5F5AA3FB">
              <w:rPr>
                <w:rFonts w:cs="Arial"/>
                <w:lang w:val="en-US" w:eastAsia="en-GB"/>
              </w:rPr>
              <w:t>,</w:t>
            </w:r>
            <w:r w:rsidRPr="5F5AA3FB">
              <w:rPr>
                <w:rFonts w:cs="Arial"/>
                <w:lang w:val="en-US" w:eastAsia="en-GB"/>
              </w:rPr>
              <w:t xml:space="preserve"> these priorities will be mutually agreed with the clinical leads</w:t>
            </w:r>
            <w:r w:rsidR="00822454" w:rsidRPr="5F5AA3FB">
              <w:rPr>
                <w:rFonts w:cs="Arial"/>
                <w:lang w:val="en-US" w:eastAsia="en-GB"/>
              </w:rPr>
              <w:t xml:space="preserve">.  They will then be </w:t>
            </w:r>
            <w:r w:rsidRPr="5F5AA3FB">
              <w:rPr>
                <w:rFonts w:cs="Arial"/>
                <w:lang w:val="en-US" w:eastAsia="en-GB"/>
              </w:rPr>
              <w:t xml:space="preserve">formally noted </w:t>
            </w:r>
            <w:r w:rsidRPr="5F5AA3FB">
              <w:rPr>
                <w:rFonts w:cs="Arial"/>
                <w:lang w:val="en-US" w:eastAsia="en-GB"/>
              </w:rPr>
              <w:lastRenderedPageBreak/>
              <w:t>and monitored through regular 1</w:t>
            </w:r>
            <w:r w:rsidR="00E42EE2" w:rsidRPr="5F5AA3FB">
              <w:rPr>
                <w:rFonts w:cs="Arial"/>
                <w:lang w:val="en-US" w:eastAsia="en-GB"/>
              </w:rPr>
              <w:t>:</w:t>
            </w:r>
            <w:r w:rsidRPr="5F5AA3FB">
              <w:rPr>
                <w:rFonts w:cs="Arial"/>
                <w:lang w:val="en-US" w:eastAsia="en-GB"/>
              </w:rPr>
              <w:t>1s across the year with the GPCB MD and outcomes and outputs formally reported to the ICB C</w:t>
            </w:r>
            <w:r w:rsidR="00BA21AF" w:rsidRPr="5F5AA3FB">
              <w:rPr>
                <w:rFonts w:cs="Arial"/>
                <w:lang w:val="en-US" w:eastAsia="en-GB"/>
              </w:rPr>
              <w:t>CDO</w:t>
            </w:r>
            <w:r w:rsidRPr="5F5AA3FB">
              <w:rPr>
                <w:rFonts w:cs="Arial"/>
                <w:lang w:val="en-US" w:eastAsia="en-GB"/>
              </w:rPr>
              <w:t xml:space="preserve"> through an annual report.</w:t>
            </w:r>
          </w:p>
          <w:p w14:paraId="1C15F9EB" w14:textId="77777777" w:rsidR="009865FF" w:rsidRDefault="009865FF" w:rsidP="5D41B183">
            <w:pPr>
              <w:pStyle w:val="OCCBody"/>
              <w:spacing w:line="276" w:lineRule="auto"/>
              <w:rPr>
                <w:rFonts w:cs="Arial"/>
                <w:lang w:eastAsia="en-GB"/>
              </w:rPr>
            </w:pPr>
          </w:p>
          <w:p w14:paraId="6D86E15E" w14:textId="1046F994" w:rsidR="009865FF" w:rsidRDefault="00D66A9C" w:rsidP="5D41B183">
            <w:pPr>
              <w:pStyle w:val="OCCBody"/>
              <w:spacing w:line="276" w:lineRule="auto"/>
              <w:rPr>
                <w:rFonts w:cs="Arial"/>
                <w:lang w:eastAsia="en-GB"/>
              </w:rPr>
            </w:pPr>
            <w:r w:rsidRPr="00CD0E91">
              <w:rPr>
                <w:rFonts w:cs="Arial"/>
                <w:lang w:eastAsia="en-GB"/>
              </w:rPr>
              <w:t>The Hospital</w:t>
            </w:r>
            <w:r w:rsidRPr="0085681A">
              <w:rPr>
                <w:rFonts w:eastAsia="Arial" w:cs="Arial"/>
              </w:rPr>
              <w:t xml:space="preserve">-to-Community Interface </w:t>
            </w:r>
            <w:r w:rsidR="00CD0E91">
              <w:rPr>
                <w:rFonts w:eastAsia="Arial" w:cs="Arial"/>
              </w:rPr>
              <w:t xml:space="preserve">role will lead </w:t>
            </w:r>
            <w:r w:rsidR="009865FF">
              <w:rPr>
                <w:rFonts w:cs="Arial"/>
                <w:lang w:eastAsia="en-GB"/>
              </w:rPr>
              <w:t xml:space="preserve">interventions which effectively </w:t>
            </w:r>
            <w:r w:rsidR="009865FF" w:rsidRPr="009865FF">
              <w:rPr>
                <w:rFonts w:cs="Arial"/>
                <w:lang w:eastAsia="en-GB"/>
              </w:rPr>
              <w:t xml:space="preserve">bridge acute and community care, ensuring smooth transitions for patients, reducing fragmentation, and promoting effective flow between </w:t>
            </w:r>
            <w:r w:rsidR="00AE15A7">
              <w:rPr>
                <w:rFonts w:cs="Arial"/>
                <w:lang w:eastAsia="en-GB"/>
              </w:rPr>
              <w:t>general practice</w:t>
            </w:r>
            <w:r w:rsidR="009865FF">
              <w:rPr>
                <w:rFonts w:cs="Arial"/>
                <w:lang w:eastAsia="en-GB"/>
              </w:rPr>
              <w:t xml:space="preserve"> and hospital.</w:t>
            </w:r>
            <w:r w:rsidR="009865FF" w:rsidRPr="009865FF">
              <w:rPr>
                <w:rFonts w:cs="Arial"/>
                <w:lang w:eastAsia="en-GB"/>
              </w:rPr>
              <w:t xml:space="preserve"> This role also encompasses leadership of </w:t>
            </w:r>
            <w:r w:rsidR="009865FF">
              <w:rPr>
                <w:rFonts w:cs="Arial"/>
                <w:lang w:eastAsia="en-GB"/>
              </w:rPr>
              <w:t xml:space="preserve">specific </w:t>
            </w:r>
            <w:r w:rsidR="009865FF" w:rsidRPr="009865FF">
              <w:rPr>
                <w:rFonts w:cs="Arial"/>
                <w:lang w:eastAsia="en-GB"/>
              </w:rPr>
              <w:t>thematic areas that support the interface between hospital and community services</w:t>
            </w:r>
            <w:r w:rsidR="00FC4C16">
              <w:rPr>
                <w:rFonts w:cs="Arial"/>
                <w:lang w:eastAsia="en-GB"/>
              </w:rPr>
              <w:t>.</w:t>
            </w:r>
          </w:p>
          <w:p w14:paraId="7D22A438" w14:textId="662DBCCA" w:rsidR="009865FF" w:rsidRPr="00402D09" w:rsidRDefault="009865FF" w:rsidP="5D41B183">
            <w:pPr>
              <w:pStyle w:val="OCCBody"/>
              <w:spacing w:line="276" w:lineRule="auto"/>
              <w:rPr>
                <w:rFonts w:cs="Arial"/>
                <w:lang w:eastAsia="en-GB"/>
              </w:rPr>
            </w:pPr>
          </w:p>
        </w:tc>
      </w:tr>
      <w:tr w:rsidR="00EA71C4" w14:paraId="253E78D3" w14:textId="77777777" w:rsidTr="5F5AA3FB">
        <w:tc>
          <w:tcPr>
            <w:tcW w:w="1824" w:type="dxa"/>
          </w:tcPr>
          <w:p w14:paraId="4E5C8511" w14:textId="77777777" w:rsidR="00EA71C4" w:rsidRPr="009865FF" w:rsidRDefault="00EA71C4" w:rsidP="00F61DD9">
            <w:pPr>
              <w:pStyle w:val="OCCBody"/>
              <w:rPr>
                <w:rFonts w:eastAsia="Arial" w:cs="Arial"/>
              </w:rPr>
            </w:pPr>
            <w:r w:rsidRPr="009865FF">
              <w:rPr>
                <w:rFonts w:eastAsia="Arial" w:cs="Arial"/>
                <w:b/>
                <w:bCs/>
              </w:rPr>
              <w:lastRenderedPageBreak/>
              <w:t>Job profile</w:t>
            </w:r>
          </w:p>
        </w:tc>
        <w:tc>
          <w:tcPr>
            <w:tcW w:w="7191" w:type="dxa"/>
          </w:tcPr>
          <w:p w14:paraId="00A349D7" w14:textId="294162E8" w:rsidR="00217F8B" w:rsidRPr="003F07C2" w:rsidRDefault="00B23580" w:rsidP="00217F8B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</w:rPr>
              <w:t>Clinical leads will need to r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epresent General Practice at local</w:t>
            </w:r>
            <w:r w:rsidR="00153517" w:rsidRPr="003F07C2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system</w:t>
            </w:r>
            <w:r w:rsidR="00153517" w:rsidRPr="003F07C2">
              <w:rPr>
                <w:rFonts w:ascii="Arial" w:eastAsia="Arial" w:hAnsi="Arial" w:cs="Arial"/>
                <w:sz w:val="22"/>
                <w:szCs w:val="22"/>
              </w:rPr>
              <w:t xml:space="preserve"> and regional 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level meetings</w:t>
            </w:r>
            <w:r w:rsidR="001B3C1A" w:rsidRPr="003F07C2">
              <w:rPr>
                <w:rFonts w:ascii="Arial" w:eastAsia="Arial" w:hAnsi="Arial" w:cs="Arial"/>
                <w:sz w:val="22"/>
                <w:szCs w:val="22"/>
              </w:rPr>
              <w:t xml:space="preserve">.  They will need to 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effectively influenc</w:t>
            </w:r>
            <w:r w:rsidR="00907522" w:rsidRPr="003F07C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 xml:space="preserve"> and negotiat</w:t>
            </w:r>
            <w:r w:rsidR="00907522" w:rsidRPr="003F07C2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 xml:space="preserve"> with </w:t>
            </w:r>
            <w:r w:rsidR="001B3C1A" w:rsidRPr="003F07C2">
              <w:rPr>
                <w:rFonts w:ascii="Arial" w:eastAsia="Arial" w:hAnsi="Arial" w:cs="Arial"/>
                <w:sz w:val="22"/>
                <w:szCs w:val="22"/>
              </w:rPr>
              <w:t xml:space="preserve">a wide range of 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stakeholders</w:t>
            </w:r>
            <w:r w:rsidR="001B3C1A" w:rsidRPr="003F07C2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communicate service-related information through persuasive and motivational skills</w:t>
            </w:r>
            <w:r w:rsidR="00081AFD" w:rsidRPr="003F07C2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 w:rsidR="006E74E7">
              <w:rPr>
                <w:rFonts w:ascii="Arial" w:eastAsia="Arial" w:hAnsi="Arial" w:cs="Arial"/>
                <w:sz w:val="22"/>
                <w:szCs w:val="22"/>
              </w:rPr>
              <w:t xml:space="preserve">They will need to be comfortable </w:t>
            </w:r>
            <w:r w:rsidR="0013705A">
              <w:rPr>
                <w:rFonts w:ascii="Arial" w:eastAsia="Arial" w:hAnsi="Arial" w:cs="Arial"/>
                <w:sz w:val="22"/>
                <w:szCs w:val="22"/>
              </w:rPr>
              <w:t>chairing system meetings</w:t>
            </w:r>
            <w:r w:rsidR="006D5416">
              <w:rPr>
                <w:rFonts w:ascii="Arial" w:eastAsia="Arial" w:hAnsi="Arial" w:cs="Arial"/>
                <w:sz w:val="22"/>
                <w:szCs w:val="22"/>
              </w:rPr>
              <w:t xml:space="preserve">.  </w:t>
            </w:r>
            <w:r w:rsidR="00081AFD" w:rsidRPr="003F07C2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elivering formal presentations</w:t>
            </w:r>
            <w:r w:rsidR="00081AFD" w:rsidRPr="003F07C2">
              <w:rPr>
                <w:rFonts w:ascii="Arial" w:eastAsia="Arial" w:hAnsi="Arial" w:cs="Arial"/>
                <w:sz w:val="22"/>
                <w:szCs w:val="22"/>
              </w:rPr>
              <w:t xml:space="preserve"> will also be required, on occasion.</w:t>
            </w:r>
          </w:p>
          <w:p w14:paraId="6E08FFA8" w14:textId="77777777" w:rsidR="00081AFD" w:rsidRPr="003F07C2" w:rsidRDefault="00081AFD" w:rsidP="00217F8B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13546B57" w14:textId="271B2FC6" w:rsidR="00217F8B" w:rsidRPr="003F07C2" w:rsidRDefault="00081AFD" w:rsidP="00217F8B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</w:rPr>
              <w:t>Each lead will have a specific a</w:t>
            </w:r>
            <w:r w:rsidR="00217F8B" w:rsidRPr="003F07C2">
              <w:rPr>
                <w:rFonts w:ascii="Arial" w:eastAsia="Arial" w:hAnsi="Arial" w:cs="Arial"/>
                <w:sz w:val="22"/>
                <w:szCs w:val="22"/>
              </w:rPr>
              <w:t>rea of accountability</w:t>
            </w:r>
            <w:r w:rsidR="00883B68" w:rsidRPr="003F07C2">
              <w:rPr>
                <w:rFonts w:ascii="Arial" w:eastAsia="Arial" w:hAnsi="Arial" w:cs="Arial"/>
                <w:sz w:val="22"/>
                <w:szCs w:val="22"/>
              </w:rPr>
              <w:t xml:space="preserve"> but will need to </w:t>
            </w:r>
            <w:r w:rsidR="00907522" w:rsidRPr="003F07C2">
              <w:rPr>
                <w:rFonts w:ascii="Arial" w:eastAsia="Arial" w:hAnsi="Arial" w:cs="Arial"/>
                <w:sz w:val="22"/>
                <w:szCs w:val="22"/>
              </w:rPr>
              <w:t>remain</w:t>
            </w:r>
            <w:r w:rsidR="00883B68" w:rsidRPr="003F07C2">
              <w:rPr>
                <w:rFonts w:ascii="Arial" w:eastAsia="Arial" w:hAnsi="Arial" w:cs="Arial"/>
                <w:sz w:val="22"/>
                <w:szCs w:val="22"/>
              </w:rPr>
              <w:t xml:space="preserve"> aware of </w:t>
            </w:r>
            <w:r w:rsidR="007A4F3A" w:rsidRPr="003F07C2">
              <w:rPr>
                <w:rFonts w:ascii="Arial" w:eastAsia="Arial" w:hAnsi="Arial" w:cs="Arial"/>
                <w:sz w:val="22"/>
                <w:szCs w:val="22"/>
              </w:rPr>
              <w:t>the wor</w:t>
            </w:r>
            <w:r w:rsidR="00907522" w:rsidRPr="003F07C2">
              <w:rPr>
                <w:rFonts w:ascii="Arial" w:eastAsia="Arial" w:hAnsi="Arial" w:cs="Arial"/>
                <w:sz w:val="22"/>
                <w:szCs w:val="22"/>
              </w:rPr>
              <w:t xml:space="preserve">k done by </w:t>
            </w:r>
            <w:r w:rsidR="00220DF3" w:rsidRPr="003F07C2">
              <w:rPr>
                <w:rFonts w:ascii="Arial" w:eastAsia="Arial" w:hAnsi="Arial" w:cs="Arial"/>
                <w:sz w:val="22"/>
                <w:szCs w:val="22"/>
              </w:rPr>
              <w:t>others and</w:t>
            </w:r>
            <w:r w:rsidR="00907522" w:rsidRPr="003F07C2">
              <w:rPr>
                <w:rFonts w:ascii="Arial" w:eastAsia="Arial" w:hAnsi="Arial" w:cs="Arial"/>
                <w:sz w:val="22"/>
                <w:szCs w:val="22"/>
              </w:rPr>
              <w:t xml:space="preserve"> liaise with other leads as appropriate</w:t>
            </w:r>
            <w:r w:rsidR="008D537A" w:rsidRPr="003F07C2">
              <w:rPr>
                <w:rFonts w:ascii="Arial" w:eastAsia="Arial" w:hAnsi="Arial" w:cs="Arial"/>
                <w:sz w:val="22"/>
                <w:szCs w:val="22"/>
              </w:rPr>
              <w:t xml:space="preserve"> in order to</w:t>
            </w:r>
            <w:r w:rsidR="008D537A" w:rsidRPr="003F07C2">
              <w:t xml:space="preserve"> </w:t>
            </w:r>
            <w:r w:rsidR="008D537A" w:rsidRPr="003F07C2">
              <w:rPr>
                <w:rFonts w:ascii="Arial" w:eastAsia="Arial" w:hAnsi="Arial" w:cs="Arial"/>
                <w:sz w:val="22"/>
                <w:szCs w:val="22"/>
              </w:rPr>
              <w:t>ensure consisten</w:t>
            </w:r>
            <w:r w:rsidR="001548EC" w:rsidRPr="003F07C2">
              <w:rPr>
                <w:rFonts w:ascii="Arial" w:eastAsia="Arial" w:hAnsi="Arial" w:cs="Arial"/>
                <w:sz w:val="22"/>
                <w:szCs w:val="22"/>
              </w:rPr>
              <w:t>cy</w:t>
            </w:r>
            <w:r w:rsidR="008D537A" w:rsidRPr="003F07C2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="001548EC" w:rsidRPr="003F07C2">
              <w:rPr>
                <w:rFonts w:ascii="Arial" w:eastAsia="Arial" w:hAnsi="Arial" w:cs="Arial"/>
                <w:sz w:val="22"/>
                <w:szCs w:val="22"/>
              </w:rPr>
              <w:t>delivery of joint</w:t>
            </w:r>
            <w:r w:rsidR="008D537A" w:rsidRPr="003F07C2">
              <w:rPr>
                <w:rFonts w:ascii="Arial" w:eastAsia="Arial" w:hAnsi="Arial" w:cs="Arial"/>
                <w:sz w:val="22"/>
                <w:szCs w:val="22"/>
              </w:rPr>
              <w:t xml:space="preserve"> priorities</w:t>
            </w:r>
            <w:r w:rsidR="001548EC" w:rsidRPr="003F07C2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4370F0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="00D856B5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4370F0">
              <w:rPr>
                <w:rFonts w:ascii="Arial" w:eastAsia="Arial" w:hAnsi="Arial" w:cs="Arial"/>
                <w:sz w:val="22"/>
                <w:szCs w:val="22"/>
              </w:rPr>
              <w:t>imited cross-cover between leads may be required for business continuity purposes.</w:t>
            </w:r>
          </w:p>
          <w:p w14:paraId="36D7172C" w14:textId="77777777" w:rsidR="00F01BF5" w:rsidRPr="003F07C2" w:rsidRDefault="00F01BF5" w:rsidP="00217F8B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54CDCFA1" w14:textId="64744F5E" w:rsidR="00F01BF5" w:rsidRPr="003F07C2" w:rsidRDefault="00F01BF5" w:rsidP="00F01BF5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</w:rPr>
              <w:t xml:space="preserve">All Clinical Leads will routinely report to GPCB and will be </w:t>
            </w:r>
            <w:r w:rsidR="001548EC" w:rsidRPr="003F07C2">
              <w:rPr>
                <w:rFonts w:ascii="Arial" w:eastAsia="Arial" w:hAnsi="Arial" w:cs="Arial"/>
                <w:sz w:val="22"/>
                <w:szCs w:val="22"/>
              </w:rPr>
              <w:t>asked to</w:t>
            </w:r>
            <w:r w:rsidR="00353DA8" w:rsidRPr="003F07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546A3F" w:rsidRPr="003F07C2">
              <w:rPr>
                <w:rFonts w:ascii="Arial" w:eastAsia="Arial" w:hAnsi="Arial" w:cs="Arial"/>
                <w:sz w:val="22"/>
                <w:szCs w:val="22"/>
              </w:rPr>
              <w:t xml:space="preserve">provide </w:t>
            </w:r>
            <w:r w:rsidR="003F07C2" w:rsidRPr="003F07C2">
              <w:rPr>
                <w:rFonts w:ascii="Arial" w:eastAsia="Arial" w:hAnsi="Arial" w:cs="Arial"/>
                <w:sz w:val="22"/>
                <w:szCs w:val="22"/>
              </w:rPr>
              <w:t>monthly</w:t>
            </w:r>
            <w:r w:rsidR="00546A3F" w:rsidRPr="003F07C2">
              <w:rPr>
                <w:rFonts w:ascii="Arial" w:eastAsia="Arial" w:hAnsi="Arial" w:cs="Arial"/>
                <w:sz w:val="22"/>
                <w:szCs w:val="22"/>
              </w:rPr>
              <w:t xml:space="preserve"> updates on </w:t>
            </w:r>
            <w:r w:rsidR="003F07C2" w:rsidRPr="003F07C2">
              <w:rPr>
                <w:rFonts w:ascii="Arial" w:eastAsia="Arial" w:hAnsi="Arial" w:cs="Arial"/>
                <w:sz w:val="22"/>
                <w:szCs w:val="22"/>
              </w:rPr>
              <w:t>their work</w:t>
            </w:r>
            <w:r w:rsidR="00546A3F" w:rsidRPr="003F07C2">
              <w:rPr>
                <w:rFonts w:ascii="Arial" w:eastAsia="Arial" w:hAnsi="Arial" w:cs="Arial"/>
                <w:sz w:val="22"/>
                <w:szCs w:val="22"/>
              </w:rPr>
              <w:t xml:space="preserve">, as well as </w:t>
            </w:r>
            <w:r w:rsidR="00A77539" w:rsidRPr="003F07C2">
              <w:rPr>
                <w:rFonts w:ascii="Arial" w:eastAsia="Arial" w:hAnsi="Arial" w:cs="Arial"/>
                <w:sz w:val="22"/>
                <w:szCs w:val="22"/>
              </w:rPr>
              <w:t xml:space="preserve">to </w:t>
            </w:r>
            <w:r w:rsidR="00353DA8" w:rsidRPr="003F07C2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003F07C2">
              <w:rPr>
                <w:rFonts w:ascii="Arial" w:eastAsia="Arial" w:hAnsi="Arial" w:cs="Arial"/>
                <w:sz w:val="22"/>
                <w:szCs w:val="22"/>
              </w:rPr>
              <w:t>articipate in regular review of outcomes, health equity, and patient experience</w:t>
            </w:r>
          </w:p>
          <w:p w14:paraId="6C0FBDAE" w14:textId="77777777" w:rsidR="00907522" w:rsidRPr="003F07C2" w:rsidRDefault="00907522" w:rsidP="00217F8B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</w:p>
          <w:p w14:paraId="28A69EDB" w14:textId="4D41E812" w:rsidR="00217F8B" w:rsidRPr="003F07C2" w:rsidRDefault="00220DF3" w:rsidP="00217F8B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</w:rPr>
              <w:t>Support will be available from the GPCB Medical Director and Chair, the GPCB Office</w:t>
            </w:r>
            <w:r w:rsidR="00B63F8D" w:rsidRPr="003F07C2">
              <w:rPr>
                <w:rFonts w:ascii="Arial" w:eastAsia="Arial" w:hAnsi="Arial" w:cs="Arial"/>
                <w:sz w:val="22"/>
                <w:szCs w:val="22"/>
              </w:rPr>
              <w:t xml:space="preserve"> and ICB colleagues</w:t>
            </w:r>
            <w:r w:rsidR="001708FC">
              <w:rPr>
                <w:rFonts w:ascii="Arial" w:eastAsia="Arial" w:hAnsi="Arial" w:cs="Arial"/>
                <w:sz w:val="22"/>
                <w:szCs w:val="22"/>
              </w:rPr>
              <w:t xml:space="preserve">, and there </w:t>
            </w:r>
            <w:r w:rsidR="00DF3F26">
              <w:rPr>
                <w:rFonts w:ascii="Arial" w:eastAsia="Arial" w:hAnsi="Arial" w:cs="Arial"/>
                <w:sz w:val="22"/>
                <w:szCs w:val="22"/>
              </w:rPr>
              <w:t xml:space="preserve">is clear guidance available to </w:t>
            </w:r>
            <w:r w:rsidR="007833CE">
              <w:rPr>
                <w:rFonts w:ascii="Arial" w:eastAsia="Arial" w:hAnsi="Arial" w:cs="Arial"/>
                <w:sz w:val="22"/>
                <w:szCs w:val="22"/>
              </w:rPr>
              <w:t>ensure</w:t>
            </w:r>
            <w:r w:rsidR="00DF3F2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63DE5">
              <w:rPr>
                <w:rFonts w:ascii="Arial" w:eastAsia="Arial" w:hAnsi="Arial" w:cs="Arial"/>
                <w:sz w:val="22"/>
                <w:szCs w:val="22"/>
              </w:rPr>
              <w:t>integrated decision making</w:t>
            </w:r>
            <w:r w:rsidR="007833C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2E17504" w14:textId="77777777" w:rsidR="00EA025E" w:rsidRPr="003F07C2" w:rsidRDefault="00EA025E" w:rsidP="00EA025E">
            <w:pPr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</w:p>
          <w:p w14:paraId="4080E6C3" w14:textId="57BA3949" w:rsidR="00EA025E" w:rsidRPr="003F07C2" w:rsidRDefault="00CD0E91" w:rsidP="00EA025E">
            <w:pPr>
              <w:spacing w:line="300" w:lineRule="exact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>Key responsibilities:</w:t>
            </w:r>
          </w:p>
          <w:p w14:paraId="01B9849B" w14:textId="7DCEDB8E" w:rsidR="00EA025E" w:rsidRPr="003F07C2" w:rsidRDefault="00EA025E" w:rsidP="005D55FE">
            <w:pPr>
              <w:numPr>
                <w:ilvl w:val="0"/>
                <w:numId w:val="8"/>
              </w:numPr>
              <w:tabs>
                <w:tab w:val="num" w:pos="720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  <w:lang w:val="en-GB"/>
              </w:rPr>
              <w:t>Support redesign of services to move appropriate care closer to home</w:t>
            </w:r>
          </w:p>
          <w:p w14:paraId="4520EF6C" w14:textId="451EA742" w:rsidR="00EA025E" w:rsidRPr="003F07C2" w:rsidRDefault="00EA025E" w:rsidP="005D55FE">
            <w:pPr>
              <w:numPr>
                <w:ilvl w:val="0"/>
                <w:numId w:val="8"/>
              </w:numPr>
              <w:tabs>
                <w:tab w:val="num" w:pos="720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Represent </w:t>
            </w:r>
            <w:r w:rsidR="00E23BA6">
              <w:rPr>
                <w:rFonts w:ascii="Arial" w:eastAsia="Arial" w:hAnsi="Arial" w:cs="Arial"/>
                <w:sz w:val="22"/>
                <w:szCs w:val="22"/>
                <w:lang w:val="en-GB"/>
              </w:rPr>
              <w:t>general practice</w:t>
            </w:r>
            <w:r w:rsidRPr="003F07C2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 in discussions around urgent and elective care interfaces</w:t>
            </w:r>
          </w:p>
          <w:p w14:paraId="1B8DD629" w14:textId="72A64517" w:rsidR="00EA025E" w:rsidRPr="003F07C2" w:rsidRDefault="00EA025E" w:rsidP="005D55FE">
            <w:pPr>
              <w:numPr>
                <w:ilvl w:val="0"/>
                <w:numId w:val="8"/>
              </w:numPr>
              <w:tabs>
                <w:tab w:val="num" w:pos="720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  <w:lang w:val="en-GB"/>
              </w:rPr>
              <w:t>Identify and remove barriers to seamless care between acute trusts and community providers</w:t>
            </w:r>
          </w:p>
          <w:p w14:paraId="2B5D97CC" w14:textId="6FB57DC9" w:rsidR="00EA025E" w:rsidRPr="003F07C2" w:rsidRDefault="00EA025E" w:rsidP="005D55FE">
            <w:pPr>
              <w:numPr>
                <w:ilvl w:val="0"/>
                <w:numId w:val="8"/>
              </w:numPr>
              <w:tabs>
                <w:tab w:val="num" w:pos="720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  <w:lang w:val="en-GB"/>
              </w:rPr>
              <w:t>Provide clinical insight into pathway transformation to improve patient experience and efficiency</w:t>
            </w:r>
          </w:p>
          <w:p w14:paraId="5EA2C3CD" w14:textId="30EB827F" w:rsidR="009865FF" w:rsidRPr="00BF6616" w:rsidRDefault="00EA025E" w:rsidP="005D55FE">
            <w:pPr>
              <w:numPr>
                <w:ilvl w:val="0"/>
                <w:numId w:val="8"/>
              </w:numPr>
              <w:tabs>
                <w:tab w:val="num" w:pos="720"/>
              </w:tabs>
              <w:spacing w:line="300" w:lineRule="exact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03F07C2">
              <w:rPr>
                <w:rFonts w:ascii="Arial" w:eastAsia="Arial" w:hAnsi="Arial" w:cs="Arial"/>
                <w:sz w:val="22"/>
                <w:szCs w:val="22"/>
                <w:lang w:val="en-GB"/>
              </w:rPr>
              <w:t>Collaborate with hospital and community leaders to align resource and workforce planning</w:t>
            </w:r>
          </w:p>
        </w:tc>
      </w:tr>
      <w:tr w:rsidR="00EA71C4" w14:paraId="0A50A424" w14:textId="77777777" w:rsidTr="5F5AA3FB">
        <w:tc>
          <w:tcPr>
            <w:tcW w:w="1824" w:type="dxa"/>
          </w:tcPr>
          <w:p w14:paraId="68ADF8F6" w14:textId="77777777" w:rsidR="00EA71C4" w:rsidRPr="00BD560E" w:rsidRDefault="00EA71C4" w:rsidP="00F61DD9">
            <w:pPr>
              <w:pStyle w:val="OCCBody"/>
              <w:rPr>
                <w:rFonts w:eastAsia="Arial" w:cs="Arial"/>
              </w:rPr>
            </w:pPr>
            <w:r w:rsidRPr="00BD560E">
              <w:rPr>
                <w:rFonts w:eastAsia="Arial" w:cs="Arial"/>
                <w:b/>
                <w:bCs/>
              </w:rPr>
              <w:t>Line management responsibility</w:t>
            </w:r>
          </w:p>
        </w:tc>
        <w:tc>
          <w:tcPr>
            <w:tcW w:w="7191" w:type="dxa"/>
          </w:tcPr>
          <w:p w14:paraId="4BFB9A76" w14:textId="77777777" w:rsidR="001B7085" w:rsidRPr="00EF2406" w:rsidRDefault="001B7085" w:rsidP="00F61DD9">
            <w:pPr>
              <w:pStyle w:val="OCCBody"/>
              <w:spacing w:line="276" w:lineRule="auto"/>
              <w:rPr>
                <w:rFonts w:eastAsia="Arial" w:cs="Arial"/>
              </w:rPr>
            </w:pPr>
          </w:p>
          <w:p w14:paraId="7534EC0D" w14:textId="2777BA7D" w:rsidR="00C47B19" w:rsidRPr="00EF2406" w:rsidRDefault="00C47B19" w:rsidP="00F61DD9">
            <w:pPr>
              <w:pStyle w:val="OCCBody"/>
              <w:spacing w:line="276" w:lineRule="auto"/>
              <w:rPr>
                <w:rFonts w:eastAsia="Arial" w:cs="Arial"/>
              </w:rPr>
            </w:pPr>
            <w:r w:rsidRPr="00EF2406">
              <w:rPr>
                <w:rFonts w:eastAsia="Arial" w:cs="Arial"/>
              </w:rPr>
              <w:t>No</w:t>
            </w:r>
          </w:p>
        </w:tc>
      </w:tr>
      <w:tr w:rsidR="00EA71C4" w14:paraId="5787A441" w14:textId="77777777" w:rsidTr="5F5AA3FB">
        <w:tc>
          <w:tcPr>
            <w:tcW w:w="1824" w:type="dxa"/>
          </w:tcPr>
          <w:p w14:paraId="3D2C097E" w14:textId="77777777" w:rsidR="00EA71C4" w:rsidRDefault="00EA71C4" w:rsidP="00F61DD9">
            <w:pPr>
              <w:pStyle w:val="OCCBody"/>
              <w:rPr>
                <w:rFonts w:eastAsia="Arial" w:cs="Arial"/>
                <w:b/>
                <w:bCs/>
              </w:rPr>
            </w:pPr>
            <w:r w:rsidRPr="1731B846">
              <w:rPr>
                <w:rFonts w:eastAsia="Arial" w:cs="Arial"/>
                <w:b/>
                <w:bCs/>
              </w:rPr>
              <w:lastRenderedPageBreak/>
              <w:t>Responsible to</w:t>
            </w:r>
          </w:p>
          <w:p w14:paraId="59A0CABE" w14:textId="77777777" w:rsidR="002328DA" w:rsidRDefault="002328DA" w:rsidP="00F61DD9">
            <w:pPr>
              <w:pStyle w:val="OCCBody"/>
              <w:rPr>
                <w:rFonts w:eastAsia="Arial" w:cs="Arial"/>
              </w:rPr>
            </w:pPr>
          </w:p>
          <w:p w14:paraId="52B59E77" w14:textId="77777777" w:rsidR="002328DA" w:rsidRDefault="002328DA" w:rsidP="00F61DD9">
            <w:pPr>
              <w:pStyle w:val="OCCBody"/>
              <w:rPr>
                <w:rFonts w:eastAsia="Arial" w:cs="Arial"/>
              </w:rPr>
            </w:pPr>
          </w:p>
        </w:tc>
        <w:tc>
          <w:tcPr>
            <w:tcW w:w="7191" w:type="dxa"/>
          </w:tcPr>
          <w:p w14:paraId="4623A5D6" w14:textId="77777777" w:rsidR="00EA71C4" w:rsidRDefault="00EA025E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Line management: tbc</w:t>
            </w:r>
          </w:p>
          <w:p w14:paraId="6F1A1AEB" w14:textId="278D0C27" w:rsidR="00EA025E" w:rsidRPr="00302740" w:rsidRDefault="00EA025E" w:rsidP="003E301C">
            <w:pPr>
              <w:pStyle w:val="OCCBody"/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Clinical supervision: GPCB Medical Director</w:t>
            </w:r>
          </w:p>
        </w:tc>
      </w:tr>
      <w:tr w:rsidR="006730E4" w14:paraId="688C7DEC" w14:textId="77777777" w:rsidTr="5F5AA3FB">
        <w:trPr>
          <w:trHeight w:val="1110"/>
        </w:trPr>
        <w:tc>
          <w:tcPr>
            <w:tcW w:w="1824" w:type="dxa"/>
          </w:tcPr>
          <w:p w14:paraId="070957BE" w14:textId="77777777" w:rsidR="006730E4" w:rsidRPr="00BD560E" w:rsidRDefault="006730E4" w:rsidP="006730E4">
            <w:pPr>
              <w:pStyle w:val="OCCHeader"/>
              <w:spacing w:before="120" w:after="120" w:line="276" w:lineRule="auto"/>
              <w:rPr>
                <w:rFonts w:eastAsia="Arial" w:cs="Arial"/>
                <w:color w:val="auto"/>
              </w:rPr>
            </w:pPr>
            <w:r w:rsidRPr="00BD560E">
              <w:rPr>
                <w:rFonts w:eastAsia="Arial" w:cs="Arial"/>
                <w:color w:val="auto"/>
              </w:rPr>
              <w:t>Key working relationships</w:t>
            </w:r>
          </w:p>
        </w:tc>
        <w:tc>
          <w:tcPr>
            <w:tcW w:w="7191" w:type="dxa"/>
          </w:tcPr>
          <w:p w14:paraId="586B9097" w14:textId="505528A1" w:rsidR="00EA025E" w:rsidRDefault="00EA025E" w:rsidP="005D55FE">
            <w:pPr>
              <w:pStyle w:val="OCCBody"/>
              <w:numPr>
                <w:ilvl w:val="0"/>
                <w:numId w:val="4"/>
              </w:num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GPCB</w:t>
            </w:r>
          </w:p>
          <w:p w14:paraId="28217073" w14:textId="6917FDAC" w:rsidR="00C012AD" w:rsidRPr="00442B23" w:rsidRDefault="00C012AD" w:rsidP="005D55FE">
            <w:pPr>
              <w:pStyle w:val="OCCBody"/>
              <w:numPr>
                <w:ilvl w:val="0"/>
                <w:numId w:val="4"/>
              </w:numPr>
              <w:spacing w:line="276" w:lineRule="auto"/>
              <w:rPr>
                <w:rFonts w:eastAsia="Arial" w:cs="Arial"/>
              </w:rPr>
            </w:pPr>
            <w:r w:rsidRPr="00442B23">
              <w:rPr>
                <w:rFonts w:eastAsia="Arial" w:cs="Arial"/>
              </w:rPr>
              <w:t>General Practice colleagues</w:t>
            </w:r>
          </w:p>
          <w:p w14:paraId="1B32A6FF" w14:textId="5F9C98F3" w:rsidR="00EA025E" w:rsidRDefault="00EA025E" w:rsidP="005D55FE">
            <w:pPr>
              <w:pStyle w:val="OCCBody"/>
              <w:numPr>
                <w:ilvl w:val="0"/>
                <w:numId w:val="4"/>
              </w:num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ICB Chief Clinical Delivery Officer</w:t>
            </w:r>
          </w:p>
          <w:p w14:paraId="289254B0" w14:textId="5C2D5BBA" w:rsidR="00EA025E" w:rsidRDefault="00EA025E" w:rsidP="005D55FE">
            <w:pPr>
              <w:pStyle w:val="OCCBody"/>
              <w:numPr>
                <w:ilvl w:val="0"/>
                <w:numId w:val="4"/>
              </w:numPr>
              <w:spacing w:line="276" w:lineRule="auto"/>
              <w:rPr>
                <w:rFonts w:eastAsia="Arial" w:cs="Arial"/>
              </w:rPr>
            </w:pPr>
            <w:r>
              <w:rPr>
                <w:rFonts w:eastAsia="Arial" w:cs="Arial"/>
              </w:rPr>
              <w:t>ICB colleagues</w:t>
            </w:r>
          </w:p>
          <w:p w14:paraId="0C77BCA3" w14:textId="2B8761AA" w:rsidR="005C4561" w:rsidRPr="00CE23A7" w:rsidRDefault="00EA025E" w:rsidP="005D55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Clinical leaders in </w:t>
            </w:r>
            <w:r w:rsidR="003A2928" w:rsidRPr="00442B23">
              <w:rPr>
                <w:rFonts w:ascii="Arial" w:hAnsi="Arial" w:cs="Arial"/>
              </w:rPr>
              <w:t xml:space="preserve">system </w:t>
            </w:r>
            <w:r w:rsidR="00E864F2" w:rsidRPr="00442B23">
              <w:rPr>
                <w:rFonts w:ascii="Arial" w:hAnsi="Arial" w:cs="Arial"/>
              </w:rPr>
              <w:t>p</w:t>
            </w:r>
            <w:r w:rsidR="003A2928" w:rsidRPr="00442B23">
              <w:rPr>
                <w:rFonts w:ascii="Arial" w:hAnsi="Arial" w:cs="Arial"/>
              </w:rPr>
              <w:t>artner</w:t>
            </w:r>
            <w:r>
              <w:rPr>
                <w:rFonts w:ascii="Arial" w:hAnsi="Arial" w:cs="Arial"/>
              </w:rPr>
              <w:t xml:space="preserve"> organisations</w:t>
            </w:r>
          </w:p>
        </w:tc>
      </w:tr>
      <w:tr w:rsidR="006730E4" w14:paraId="15C52914" w14:textId="77777777" w:rsidTr="5F5AA3FB">
        <w:trPr>
          <w:trHeight w:val="480"/>
        </w:trPr>
        <w:tc>
          <w:tcPr>
            <w:tcW w:w="1824" w:type="dxa"/>
          </w:tcPr>
          <w:p w14:paraId="3ECE235E" w14:textId="77777777" w:rsidR="006730E4" w:rsidRDefault="006730E4" w:rsidP="006730E4">
            <w:pPr>
              <w:pStyle w:val="OCCHeader"/>
              <w:spacing w:before="120" w:after="120" w:line="276" w:lineRule="auto"/>
              <w:rPr>
                <w:rFonts w:eastAsia="Arial" w:cs="Arial"/>
                <w:color w:val="auto"/>
              </w:rPr>
            </w:pPr>
            <w:r w:rsidRPr="00BD560E">
              <w:rPr>
                <w:rFonts w:eastAsia="Arial" w:cs="Arial"/>
                <w:color w:val="auto"/>
              </w:rPr>
              <w:t>Salary</w:t>
            </w:r>
          </w:p>
          <w:p w14:paraId="75D8A0F0" w14:textId="77777777" w:rsidR="002328DA" w:rsidRPr="006C3237" w:rsidRDefault="002328DA" w:rsidP="006C3237">
            <w:pPr>
              <w:pStyle w:val="OCCBody"/>
            </w:pPr>
          </w:p>
        </w:tc>
        <w:tc>
          <w:tcPr>
            <w:tcW w:w="7191" w:type="dxa"/>
          </w:tcPr>
          <w:p w14:paraId="12A31765" w14:textId="3B188376" w:rsidR="006730E4" w:rsidRPr="004E4910" w:rsidRDefault="0085681A" w:rsidP="5D41B183">
            <w:pPr>
              <w:pStyle w:val="OCCBody"/>
              <w:spacing w:before="120" w:after="120" w:line="276" w:lineRule="auto"/>
              <w:rPr>
                <w:rFonts w:eastAsia="Arial" w:cs="Arial"/>
              </w:rPr>
            </w:pPr>
            <w:r w:rsidRPr="00111D50">
              <w:rPr>
                <w:rFonts w:eastAsia="Arial" w:cs="Arial"/>
              </w:rPr>
              <w:t>£118,115</w:t>
            </w:r>
            <w:r>
              <w:rPr>
                <w:rFonts w:eastAsia="Arial" w:cs="Arial"/>
              </w:rPr>
              <w:t xml:space="preserve"> (FTE)</w:t>
            </w:r>
          </w:p>
        </w:tc>
      </w:tr>
    </w:tbl>
    <w:p w14:paraId="012B4F89" w14:textId="5B586B73" w:rsidR="00A45ED8" w:rsidRDefault="00A45ED8" w:rsidP="5D41B183">
      <w:pPr>
        <w:spacing w:before="120" w:after="120" w:line="276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6751678D" w14:textId="77777777" w:rsidR="001D34EC" w:rsidRPr="001D34EC" w:rsidRDefault="001D34EC" w:rsidP="001D34EC">
      <w:pPr>
        <w:spacing w:before="120" w:after="120" w:line="276" w:lineRule="auto"/>
        <w:rPr>
          <w:rFonts w:ascii="Arial" w:eastAsia="Arial" w:hAnsi="Arial" w:cs="Arial"/>
          <w:color w:val="000000" w:themeColor="text1"/>
        </w:rPr>
      </w:pPr>
    </w:p>
    <w:p w14:paraId="258D7201" w14:textId="15608A31" w:rsidR="000364D0" w:rsidRPr="00B1556F" w:rsidRDefault="00EA71C4" w:rsidP="00B1556F">
      <w:pPr>
        <w:pStyle w:val="OCCBody"/>
        <w:spacing w:before="120" w:after="120" w:line="276" w:lineRule="auto"/>
        <w:jc w:val="both"/>
        <w:rPr>
          <w:rFonts w:eastAsia="Arial" w:cs="Arial"/>
          <w:b/>
          <w:bCs/>
          <w:color w:val="000000" w:themeColor="text1"/>
        </w:rPr>
      </w:pPr>
      <w:r w:rsidRPr="1731B846">
        <w:rPr>
          <w:rFonts w:eastAsia="Arial" w:cs="Arial"/>
          <w:b/>
          <w:bCs/>
          <w:color w:val="000000" w:themeColor="text1"/>
        </w:rPr>
        <w:t>PERSON SPECIFICATION</w:t>
      </w:r>
    </w:p>
    <w:tbl>
      <w:tblPr>
        <w:tblW w:w="9356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8"/>
        <w:gridCol w:w="9348"/>
      </w:tblGrid>
      <w:tr w:rsidR="00591306" w14:paraId="3BBDDA72" w14:textId="77777777" w:rsidTr="001F3FFD">
        <w:trPr>
          <w:gridBefore w:val="1"/>
          <w:wBefore w:w="8" w:type="dxa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0C77342" w14:textId="0B4B0FF5" w:rsidR="00591306" w:rsidRPr="00591306" w:rsidRDefault="00591306" w:rsidP="00F61DD9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59130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QUALIFICATIONS AND EXPERIENCE</w:t>
            </w:r>
          </w:p>
        </w:tc>
      </w:tr>
      <w:tr w:rsidR="00873F39" w14:paraId="7373FC0F" w14:textId="77777777" w:rsidTr="00B1556F">
        <w:trPr>
          <w:gridBefore w:val="1"/>
          <w:wBefore w:w="8" w:type="dxa"/>
          <w:trHeight w:val="552"/>
        </w:trPr>
        <w:tc>
          <w:tcPr>
            <w:tcW w:w="9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6CAB51" w14:textId="6924B99D" w:rsidR="00873F39" w:rsidRPr="002328DA" w:rsidRDefault="00873F39" w:rsidP="001E2059">
            <w:pPr>
              <w:shd w:val="clear" w:color="auto" w:fill="FFFFFF" w:themeFill="background1"/>
              <w:spacing w:before="120" w:after="120"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328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Essential</w:t>
            </w:r>
          </w:p>
          <w:p w14:paraId="5E1CEA76" w14:textId="1E389AF9" w:rsidR="00601C2B" w:rsidRPr="00601C2B" w:rsidRDefault="00601C2B" w:rsidP="00601C2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01C2B">
              <w:rPr>
                <w:rFonts w:ascii="Arial" w:hAnsi="Arial" w:cs="Arial"/>
              </w:rPr>
              <w:t>n experienced G</w:t>
            </w:r>
            <w:r>
              <w:rPr>
                <w:rFonts w:ascii="Arial" w:hAnsi="Arial" w:cs="Arial"/>
              </w:rPr>
              <w:t>P</w:t>
            </w:r>
            <w:r w:rsidRPr="00601C2B">
              <w:rPr>
                <w:rFonts w:ascii="Arial" w:hAnsi="Arial" w:cs="Arial"/>
              </w:rPr>
              <w:t xml:space="preserve"> of at least 5 years qualification</w:t>
            </w:r>
          </w:p>
          <w:p w14:paraId="737F5CD8" w14:textId="3C27CE2A" w:rsidR="001D34EC" w:rsidRDefault="001D34EC" w:rsidP="005D55F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D34EC">
              <w:rPr>
                <w:rFonts w:ascii="Arial" w:hAnsi="Arial" w:cs="Arial"/>
              </w:rPr>
              <w:t>Clinically active within a BNSSG practice</w:t>
            </w:r>
          </w:p>
          <w:p w14:paraId="5AABE5FE" w14:textId="05AE6EFF" w:rsidR="001D34EC" w:rsidRPr="001D34EC" w:rsidRDefault="001D34EC" w:rsidP="005D55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D34EC">
              <w:rPr>
                <w:rFonts w:ascii="Arial" w:hAnsi="Arial" w:cs="Arial"/>
              </w:rPr>
              <w:t>Experience working across acute and community interfaces</w:t>
            </w:r>
          </w:p>
          <w:p w14:paraId="779D97FB" w14:textId="5FFCF0CA" w:rsidR="001D34EC" w:rsidRPr="001D34EC" w:rsidRDefault="001D34EC" w:rsidP="005D55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D34EC">
              <w:rPr>
                <w:rFonts w:ascii="Arial" w:hAnsi="Arial" w:cs="Arial"/>
              </w:rPr>
              <w:t>Strong system leadership and change management skills</w:t>
            </w:r>
          </w:p>
          <w:p w14:paraId="47B12C52" w14:textId="16E20BDB" w:rsidR="001D34EC" w:rsidRDefault="001D34EC" w:rsidP="001D34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34EC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4A09294A" w14:textId="77777777" w:rsidR="004E39FA" w:rsidRPr="001D34EC" w:rsidRDefault="004E39FA" w:rsidP="001D34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A72B79" w14:textId="77777777" w:rsidR="001D34EC" w:rsidRPr="001D34EC" w:rsidRDefault="001D34EC" w:rsidP="005D55F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D34EC">
              <w:rPr>
                <w:rFonts w:ascii="Arial" w:hAnsi="Arial" w:cs="Arial"/>
              </w:rPr>
              <w:t>Experience in collaborative service redesign across sectors</w:t>
            </w:r>
          </w:p>
          <w:p w14:paraId="0D4482AF" w14:textId="028AD273" w:rsidR="001D34EC" w:rsidRPr="001D34EC" w:rsidRDefault="001D34EC" w:rsidP="005D55F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1D34EC">
              <w:rPr>
                <w:rFonts w:ascii="Arial" w:hAnsi="Arial" w:cs="Arial"/>
              </w:rPr>
              <w:t>Understanding of admission avoidance</w:t>
            </w:r>
            <w:r>
              <w:rPr>
                <w:rFonts w:ascii="Arial" w:hAnsi="Arial" w:cs="Arial"/>
              </w:rPr>
              <w:t>,</w:t>
            </w:r>
            <w:r w:rsidRPr="001D34EC">
              <w:rPr>
                <w:rFonts w:ascii="Arial" w:hAnsi="Arial" w:cs="Arial"/>
              </w:rPr>
              <w:t xml:space="preserve"> hospital flow</w:t>
            </w:r>
            <w:r>
              <w:rPr>
                <w:rFonts w:ascii="Arial" w:hAnsi="Arial" w:cs="Arial"/>
              </w:rPr>
              <w:t xml:space="preserve"> </w:t>
            </w:r>
            <w:r w:rsidRPr="001D34EC">
              <w:rPr>
                <w:rFonts w:ascii="Arial" w:hAnsi="Arial" w:cs="Arial"/>
              </w:rPr>
              <w:t>and virtual ward models</w:t>
            </w:r>
          </w:p>
          <w:p w14:paraId="59543745" w14:textId="67FB7711" w:rsidR="001D34EC" w:rsidRPr="008844FA" w:rsidRDefault="001D34EC" w:rsidP="005D55FE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844FA">
              <w:rPr>
                <w:rFonts w:ascii="Arial" w:hAnsi="Arial" w:cs="Arial"/>
              </w:rPr>
              <w:t>Specialist experience in one or more thematic areas</w:t>
            </w:r>
          </w:p>
          <w:p w14:paraId="3AEEBA75" w14:textId="36781332" w:rsidR="002328DA" w:rsidRPr="00B1556F" w:rsidRDefault="002328DA" w:rsidP="0085681A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D4DA6" w:rsidRPr="007B3C8E" w14:paraId="66E49FFC" w14:textId="77777777" w:rsidTr="001F3FFD"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AD5CB4A" w14:textId="545E916F" w:rsidR="004D4DA6" w:rsidRPr="001F3FFD" w:rsidRDefault="00E56053" w:rsidP="00B33807">
            <w:pPr>
              <w:spacing w:before="120" w:after="120" w:line="276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PERSONAL QUALITIES, </w:t>
            </w:r>
            <w:r w:rsidR="002328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SKILLS AND ATTRIBUTES</w:t>
            </w:r>
          </w:p>
        </w:tc>
      </w:tr>
      <w:tr w:rsidR="001E2059" w14:paraId="4ECE67B5" w14:textId="77777777" w:rsidTr="00B83457">
        <w:trPr>
          <w:trHeight w:val="465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B6D1" w14:textId="5C7EADCB" w:rsidR="001E2059" w:rsidRPr="008844FA" w:rsidRDefault="008844FA" w:rsidP="005D55F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73EEB">
              <w:rPr>
                <w:rFonts w:ascii="Arial" w:eastAsia="Arial" w:hAnsi="Arial" w:cs="Arial"/>
              </w:rPr>
              <w:t>Values working collaboratively with a wide team to achieve results</w:t>
            </w:r>
            <w:r>
              <w:rPr>
                <w:rFonts w:ascii="Arial" w:eastAsia="Arial" w:hAnsi="Arial" w:cs="Arial"/>
              </w:rPr>
              <w:t xml:space="preserve"> and also able</w:t>
            </w:r>
            <w:r w:rsidR="00135EBA" w:rsidRPr="008844FA">
              <w:rPr>
                <w:rFonts w:ascii="Arial" w:eastAsia="Arial" w:hAnsi="Arial" w:cs="Arial"/>
              </w:rPr>
              <w:t xml:space="preserve"> to act autonomously to achieve the requirements of the post</w:t>
            </w:r>
          </w:p>
          <w:p w14:paraId="3570C94C" w14:textId="77777777" w:rsidR="008844FA" w:rsidRPr="008844FA" w:rsidRDefault="008844FA" w:rsidP="005D55F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373EEB">
              <w:rPr>
                <w:rFonts w:ascii="Arial" w:eastAsia="Arial" w:hAnsi="Arial" w:cs="Arial"/>
              </w:rPr>
              <w:t>Commitment to developing respectful and positive relationships with other system leaders</w:t>
            </w:r>
          </w:p>
          <w:p w14:paraId="76F34080" w14:textId="33E7E144" w:rsidR="00E85622" w:rsidRPr="008844FA" w:rsidRDefault="00527533" w:rsidP="005D55F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213CFE">
              <w:rPr>
                <w:rFonts w:ascii="Arial" w:eastAsia="Arial" w:hAnsi="Arial" w:cs="Arial"/>
              </w:rPr>
              <w:t>Exc</w:t>
            </w:r>
            <w:r w:rsidR="008844FA">
              <w:rPr>
                <w:rFonts w:ascii="Arial" w:eastAsia="Arial" w:hAnsi="Arial" w:cs="Arial"/>
              </w:rPr>
              <w:t>ellent</w:t>
            </w:r>
            <w:r w:rsidRPr="00213CFE">
              <w:rPr>
                <w:rFonts w:ascii="Arial" w:eastAsia="Arial" w:hAnsi="Arial" w:cs="Arial"/>
              </w:rPr>
              <w:t xml:space="preserve"> communication and stakeholder management skills</w:t>
            </w:r>
          </w:p>
          <w:p w14:paraId="6277BFBE" w14:textId="3139BFB7" w:rsidR="00052B47" w:rsidRPr="00D03237" w:rsidRDefault="00D03237" w:rsidP="005D55F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213CFE">
              <w:rPr>
                <w:rFonts w:ascii="Arial" w:eastAsia="Arial" w:hAnsi="Arial" w:cs="Arial"/>
              </w:rPr>
              <w:t xml:space="preserve">Able to </w:t>
            </w:r>
            <w:r>
              <w:rPr>
                <w:rFonts w:ascii="Arial" w:eastAsia="Arial" w:hAnsi="Arial" w:cs="Arial"/>
              </w:rPr>
              <w:t>bring divergent views together to reach consensus</w:t>
            </w:r>
          </w:p>
          <w:p w14:paraId="6B181C7B" w14:textId="54D7A6FE" w:rsidR="003E1A35" w:rsidRPr="00417989" w:rsidRDefault="00417989" w:rsidP="005D55F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Arial" w:hAnsi="Arial" w:cs="Arial"/>
                <w:b/>
                <w:bCs/>
              </w:rPr>
            </w:pPr>
            <w:r w:rsidRPr="00213CFE">
              <w:rPr>
                <w:rFonts w:ascii="Arial" w:eastAsia="Arial" w:hAnsi="Arial" w:cs="Arial"/>
              </w:rPr>
              <w:t>Ability to use a range of leadership styles appropriate to each situation</w:t>
            </w:r>
          </w:p>
          <w:p w14:paraId="704CECDA" w14:textId="77777777" w:rsidR="002328DA" w:rsidRDefault="002934BF" w:rsidP="005D55FE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Arial" w:eastAsia="Arial" w:hAnsi="Arial" w:cs="Arial"/>
              </w:rPr>
            </w:pPr>
            <w:r w:rsidRPr="002934BF">
              <w:rPr>
                <w:rFonts w:ascii="Arial" w:eastAsia="Arial" w:hAnsi="Arial" w:cs="Arial"/>
              </w:rPr>
              <w:t>Positivity, enthusiasm and energy</w:t>
            </w:r>
          </w:p>
          <w:p w14:paraId="13B3EE6B" w14:textId="589932F3" w:rsidR="008844FA" w:rsidRPr="008844FA" w:rsidRDefault="008844FA" w:rsidP="005D55F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</w:rPr>
            </w:pPr>
            <w:r w:rsidRPr="008844FA">
              <w:rPr>
                <w:rFonts w:ascii="Arial" w:eastAsia="Arial" w:hAnsi="Arial" w:cs="Arial"/>
              </w:rPr>
              <w:t>Open, inclusive, and partnership-focused</w:t>
            </w:r>
          </w:p>
          <w:p w14:paraId="78CE41B4" w14:textId="7154ADB7" w:rsidR="008844FA" w:rsidRPr="008844FA" w:rsidRDefault="008844FA" w:rsidP="005D55F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</w:rPr>
            </w:pPr>
            <w:r w:rsidRPr="008844FA">
              <w:rPr>
                <w:rFonts w:ascii="Arial" w:eastAsia="Arial" w:hAnsi="Arial" w:cs="Arial"/>
              </w:rPr>
              <w:t>System-thinking mindset, committed to reducing duplication and fragmentation</w:t>
            </w:r>
          </w:p>
          <w:p w14:paraId="493CFC17" w14:textId="624E4FB5" w:rsidR="008844FA" w:rsidRPr="008844FA" w:rsidRDefault="008844FA" w:rsidP="005D55FE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</w:rPr>
            </w:pPr>
            <w:r w:rsidRPr="008844FA">
              <w:rPr>
                <w:rFonts w:ascii="Arial" w:eastAsia="Arial" w:hAnsi="Arial" w:cs="Arial"/>
              </w:rPr>
              <w:t>Driven by quality, efficiency, and improved patient outcome</w:t>
            </w:r>
            <w:r>
              <w:rPr>
                <w:rFonts w:ascii="Arial" w:eastAsia="Arial" w:hAnsi="Arial" w:cs="Arial"/>
              </w:rPr>
              <w:t>s</w:t>
            </w:r>
          </w:p>
          <w:p w14:paraId="37623D17" w14:textId="37852A06" w:rsidR="00B1556F" w:rsidRPr="00B1556F" w:rsidRDefault="00B1556F" w:rsidP="0085681A">
            <w:pPr>
              <w:pStyle w:val="ListParagraph"/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6E59093B" w14:textId="77777777" w:rsidR="00EA71C4" w:rsidRDefault="00EA71C4" w:rsidP="004B4E1C">
      <w:pPr>
        <w:spacing w:line="300" w:lineRule="exact"/>
        <w:rPr>
          <w:rFonts w:ascii="Arial" w:eastAsia="Arial" w:hAnsi="Arial" w:cs="Arial"/>
          <w:color w:val="000000" w:themeColor="text1"/>
        </w:rPr>
      </w:pPr>
    </w:p>
    <w:sectPr w:rsidR="00EA71C4" w:rsidSect="00023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40B4" w14:textId="77777777" w:rsidR="001D3887" w:rsidRDefault="001D3887">
      <w:r>
        <w:separator/>
      </w:r>
    </w:p>
  </w:endnote>
  <w:endnote w:type="continuationSeparator" w:id="0">
    <w:p w14:paraId="77D2ED71" w14:textId="77777777" w:rsidR="001D3887" w:rsidRDefault="001D3887">
      <w:r>
        <w:continuationSeparator/>
      </w:r>
    </w:p>
  </w:endnote>
  <w:endnote w:type="continuationNotice" w:id="1">
    <w:p w14:paraId="082AAA2C" w14:textId="77777777" w:rsidR="001D3887" w:rsidRDefault="001D38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21D8" w14:textId="77777777" w:rsidR="00F94135" w:rsidRDefault="00F94135" w:rsidP="00EC69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7141D" w14:textId="77777777" w:rsidR="00F94135" w:rsidRDefault="00F94135" w:rsidP="009C03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073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D889692" w14:textId="1FEDDB34" w:rsidR="00F94135" w:rsidRPr="00F34EC4" w:rsidRDefault="00F94135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F34EC4">
          <w:rPr>
            <w:rFonts w:ascii="Arial" w:hAnsi="Arial" w:cs="Arial"/>
            <w:sz w:val="22"/>
            <w:szCs w:val="22"/>
          </w:rPr>
          <w:fldChar w:fldCharType="begin"/>
        </w:r>
        <w:r w:rsidRPr="00F34EC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F34EC4">
          <w:rPr>
            <w:rFonts w:ascii="Arial" w:hAnsi="Arial" w:cs="Arial"/>
            <w:sz w:val="22"/>
            <w:szCs w:val="22"/>
          </w:rPr>
          <w:fldChar w:fldCharType="separate"/>
        </w:r>
        <w:r w:rsidRPr="00F34EC4">
          <w:rPr>
            <w:rFonts w:ascii="Arial" w:hAnsi="Arial" w:cs="Arial"/>
            <w:noProof/>
            <w:sz w:val="22"/>
            <w:szCs w:val="22"/>
          </w:rPr>
          <w:t>5</w:t>
        </w:r>
        <w:r w:rsidRPr="00F34EC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161D45AF" w14:textId="77777777" w:rsidR="00F94135" w:rsidRDefault="00F94135" w:rsidP="009C033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518B6B" w14:paraId="74BCD343" w14:textId="77777777" w:rsidTr="25518B6B">
      <w:tc>
        <w:tcPr>
          <w:tcW w:w="3005" w:type="dxa"/>
        </w:tcPr>
        <w:p w14:paraId="1C09AE65" w14:textId="7E1FA32D" w:rsidR="25518B6B" w:rsidRDefault="25518B6B" w:rsidP="25518B6B">
          <w:pPr>
            <w:pStyle w:val="Header"/>
            <w:ind w:left="-115"/>
          </w:pPr>
        </w:p>
      </w:tc>
      <w:tc>
        <w:tcPr>
          <w:tcW w:w="3005" w:type="dxa"/>
        </w:tcPr>
        <w:p w14:paraId="47A664FA" w14:textId="0AA0CC14" w:rsidR="25518B6B" w:rsidRDefault="25518B6B" w:rsidP="25518B6B">
          <w:pPr>
            <w:pStyle w:val="Header"/>
            <w:jc w:val="center"/>
          </w:pPr>
        </w:p>
      </w:tc>
      <w:tc>
        <w:tcPr>
          <w:tcW w:w="3005" w:type="dxa"/>
        </w:tcPr>
        <w:p w14:paraId="01358FA2" w14:textId="5B1CED02" w:rsidR="25518B6B" w:rsidRDefault="25518B6B" w:rsidP="25518B6B">
          <w:pPr>
            <w:pStyle w:val="Header"/>
            <w:ind w:right="-115"/>
            <w:jc w:val="right"/>
          </w:pPr>
        </w:p>
      </w:tc>
    </w:tr>
  </w:tbl>
  <w:p w14:paraId="00F3B08A" w14:textId="33C85359" w:rsidR="25518B6B" w:rsidRDefault="25518B6B" w:rsidP="25518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198A" w14:textId="77777777" w:rsidR="001D3887" w:rsidRDefault="001D3887">
      <w:r>
        <w:separator/>
      </w:r>
    </w:p>
  </w:footnote>
  <w:footnote w:type="continuationSeparator" w:id="0">
    <w:p w14:paraId="313B1287" w14:textId="77777777" w:rsidR="001D3887" w:rsidRDefault="001D3887">
      <w:r>
        <w:continuationSeparator/>
      </w:r>
    </w:p>
  </w:footnote>
  <w:footnote w:type="continuationNotice" w:id="1">
    <w:p w14:paraId="0EC52D93" w14:textId="77777777" w:rsidR="001D3887" w:rsidRDefault="001D38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23DB" w14:textId="67B4F8FC" w:rsidR="00440A85" w:rsidRDefault="00440A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ECB7" w14:textId="24C0D575" w:rsidR="00F94135" w:rsidRDefault="00F9413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312D0F54" wp14:editId="086E07A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0310" cy="1089025"/>
          <wp:effectExtent l="0" t="0" r="2540" b="0"/>
          <wp:wrapNone/>
          <wp:docPr id="3" name="Picture 3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59B4" w14:textId="214824B5" w:rsidR="00F94135" w:rsidRDefault="00CA50A1" w:rsidP="00F94135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163F7E5" wp14:editId="3580AD26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560310" cy="1089025"/>
          <wp:effectExtent l="0" t="0" r="2540" b="0"/>
          <wp:wrapNone/>
          <wp:docPr id="4" name="Picture 4" descr="OCC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1CB3A" w14:textId="500C6116" w:rsidR="00F94135" w:rsidRDefault="00F94135" w:rsidP="00F94135">
    <w:pPr>
      <w:pStyle w:val="Header"/>
    </w:pPr>
    <w:r>
      <w:rPr>
        <w:noProof/>
        <w:lang w:val="en-GB" w:eastAsia="en-GB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3GdK0Ai5jDpyi" int2:id="9eIgdMC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0925B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66D27"/>
    <w:multiLevelType w:val="hybridMultilevel"/>
    <w:tmpl w:val="7B18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05C"/>
    <w:multiLevelType w:val="hybridMultilevel"/>
    <w:tmpl w:val="89A0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7F1"/>
    <w:multiLevelType w:val="hybridMultilevel"/>
    <w:tmpl w:val="D02A6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4B90"/>
    <w:multiLevelType w:val="hybridMultilevel"/>
    <w:tmpl w:val="2C2E2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B6237"/>
    <w:multiLevelType w:val="multilevel"/>
    <w:tmpl w:val="4E92A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944FC"/>
    <w:multiLevelType w:val="hybridMultilevel"/>
    <w:tmpl w:val="7492A07C"/>
    <w:lvl w:ilvl="0" w:tplc="4FAAB7E6">
      <w:start w:val="1"/>
      <w:numFmt w:val="bullet"/>
      <w:pStyle w:val="OCCBullets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ED1651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9E72FF"/>
    <w:multiLevelType w:val="hybridMultilevel"/>
    <w:tmpl w:val="5F94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62AF3"/>
    <w:multiLevelType w:val="hybridMultilevel"/>
    <w:tmpl w:val="2066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447FC"/>
    <w:multiLevelType w:val="hybridMultilevel"/>
    <w:tmpl w:val="BD46D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2022"/>
    <w:multiLevelType w:val="hybridMultilevel"/>
    <w:tmpl w:val="BC6E6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60342">
    <w:abstractNumId w:val="6"/>
  </w:num>
  <w:num w:numId="2" w16cid:durableId="2008899166">
    <w:abstractNumId w:val="0"/>
  </w:num>
  <w:num w:numId="3" w16cid:durableId="2044360307">
    <w:abstractNumId w:val="7"/>
  </w:num>
  <w:num w:numId="4" w16cid:durableId="1146891719">
    <w:abstractNumId w:val="8"/>
  </w:num>
  <w:num w:numId="5" w16cid:durableId="1949657733">
    <w:abstractNumId w:val="9"/>
  </w:num>
  <w:num w:numId="6" w16cid:durableId="706680499">
    <w:abstractNumId w:val="10"/>
  </w:num>
  <w:num w:numId="7" w16cid:durableId="1111701300">
    <w:abstractNumId w:val="3"/>
  </w:num>
  <w:num w:numId="8" w16cid:durableId="1332443443">
    <w:abstractNumId w:val="5"/>
  </w:num>
  <w:num w:numId="9" w16cid:durableId="94714636">
    <w:abstractNumId w:val="1"/>
  </w:num>
  <w:num w:numId="10" w16cid:durableId="1729841450">
    <w:abstractNumId w:val="2"/>
  </w:num>
  <w:num w:numId="11" w16cid:durableId="71442757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readOnly" w:enforcement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7E2"/>
    <w:rsid w:val="00002D66"/>
    <w:rsid w:val="00005B33"/>
    <w:rsid w:val="00023079"/>
    <w:rsid w:val="00025453"/>
    <w:rsid w:val="00027DA2"/>
    <w:rsid w:val="0003022A"/>
    <w:rsid w:val="000364D0"/>
    <w:rsid w:val="00037DEB"/>
    <w:rsid w:val="00040981"/>
    <w:rsid w:val="000422DE"/>
    <w:rsid w:val="00043694"/>
    <w:rsid w:val="00044ED8"/>
    <w:rsid w:val="000526AD"/>
    <w:rsid w:val="00052B47"/>
    <w:rsid w:val="00054EC8"/>
    <w:rsid w:val="00064424"/>
    <w:rsid w:val="00074188"/>
    <w:rsid w:val="000754B4"/>
    <w:rsid w:val="0007598D"/>
    <w:rsid w:val="00075AEF"/>
    <w:rsid w:val="00077A06"/>
    <w:rsid w:val="00081AFD"/>
    <w:rsid w:val="00082199"/>
    <w:rsid w:val="000901D1"/>
    <w:rsid w:val="00093F0E"/>
    <w:rsid w:val="000A586D"/>
    <w:rsid w:val="000B209D"/>
    <w:rsid w:val="000B2694"/>
    <w:rsid w:val="000B4894"/>
    <w:rsid w:val="000C322B"/>
    <w:rsid w:val="000C48BA"/>
    <w:rsid w:val="000C58DB"/>
    <w:rsid w:val="000C617C"/>
    <w:rsid w:val="000D03EA"/>
    <w:rsid w:val="000E36FD"/>
    <w:rsid w:val="000F2823"/>
    <w:rsid w:val="000F3C18"/>
    <w:rsid w:val="000F5BAE"/>
    <w:rsid w:val="000F5ECB"/>
    <w:rsid w:val="000F6394"/>
    <w:rsid w:val="00110A51"/>
    <w:rsid w:val="0011411E"/>
    <w:rsid w:val="001145DF"/>
    <w:rsid w:val="001161DD"/>
    <w:rsid w:val="0012578C"/>
    <w:rsid w:val="00133421"/>
    <w:rsid w:val="00135EBA"/>
    <w:rsid w:val="0013705A"/>
    <w:rsid w:val="0014006F"/>
    <w:rsid w:val="00145B4D"/>
    <w:rsid w:val="00145FAA"/>
    <w:rsid w:val="00147BF1"/>
    <w:rsid w:val="0015317A"/>
    <w:rsid w:val="00153517"/>
    <w:rsid w:val="001548EC"/>
    <w:rsid w:val="00154F51"/>
    <w:rsid w:val="001610A4"/>
    <w:rsid w:val="001635E2"/>
    <w:rsid w:val="00164C45"/>
    <w:rsid w:val="00166284"/>
    <w:rsid w:val="001708FC"/>
    <w:rsid w:val="00170F0E"/>
    <w:rsid w:val="00173D06"/>
    <w:rsid w:val="00175CC7"/>
    <w:rsid w:val="00176C72"/>
    <w:rsid w:val="001779CB"/>
    <w:rsid w:val="00182E6C"/>
    <w:rsid w:val="001840A1"/>
    <w:rsid w:val="00185A90"/>
    <w:rsid w:val="0018784E"/>
    <w:rsid w:val="00191121"/>
    <w:rsid w:val="00193248"/>
    <w:rsid w:val="001A225A"/>
    <w:rsid w:val="001A3247"/>
    <w:rsid w:val="001A516B"/>
    <w:rsid w:val="001A7FEB"/>
    <w:rsid w:val="001B3C1A"/>
    <w:rsid w:val="001B62A5"/>
    <w:rsid w:val="001B7085"/>
    <w:rsid w:val="001B7EDC"/>
    <w:rsid w:val="001C477D"/>
    <w:rsid w:val="001C7142"/>
    <w:rsid w:val="001C795C"/>
    <w:rsid w:val="001D165F"/>
    <w:rsid w:val="001D34EC"/>
    <w:rsid w:val="001D3887"/>
    <w:rsid w:val="001D4A31"/>
    <w:rsid w:val="001E2059"/>
    <w:rsid w:val="001E45CD"/>
    <w:rsid w:val="001F24CD"/>
    <w:rsid w:val="001F3781"/>
    <w:rsid w:val="001F3FFD"/>
    <w:rsid w:val="001F783C"/>
    <w:rsid w:val="00201374"/>
    <w:rsid w:val="0020262C"/>
    <w:rsid w:val="0020379D"/>
    <w:rsid w:val="00207230"/>
    <w:rsid w:val="002119A6"/>
    <w:rsid w:val="00212AEA"/>
    <w:rsid w:val="0021355F"/>
    <w:rsid w:val="00217F8B"/>
    <w:rsid w:val="00217F93"/>
    <w:rsid w:val="00220B5F"/>
    <w:rsid w:val="00220DF3"/>
    <w:rsid w:val="0022230A"/>
    <w:rsid w:val="00224482"/>
    <w:rsid w:val="0022579F"/>
    <w:rsid w:val="00230A32"/>
    <w:rsid w:val="002328DA"/>
    <w:rsid w:val="00237471"/>
    <w:rsid w:val="00243805"/>
    <w:rsid w:val="00245125"/>
    <w:rsid w:val="0025457C"/>
    <w:rsid w:val="002558F4"/>
    <w:rsid w:val="00257ABF"/>
    <w:rsid w:val="00264CD7"/>
    <w:rsid w:val="00265FA7"/>
    <w:rsid w:val="002704FE"/>
    <w:rsid w:val="002822F6"/>
    <w:rsid w:val="00286896"/>
    <w:rsid w:val="002868A0"/>
    <w:rsid w:val="0029096D"/>
    <w:rsid w:val="002934BF"/>
    <w:rsid w:val="00295E34"/>
    <w:rsid w:val="00296ECE"/>
    <w:rsid w:val="00297640"/>
    <w:rsid w:val="002A5B0D"/>
    <w:rsid w:val="002A607E"/>
    <w:rsid w:val="002A6AF7"/>
    <w:rsid w:val="002B5115"/>
    <w:rsid w:val="002B5392"/>
    <w:rsid w:val="002C1FCE"/>
    <w:rsid w:val="002C7A03"/>
    <w:rsid w:val="002D1145"/>
    <w:rsid w:val="002D1426"/>
    <w:rsid w:val="002D26DA"/>
    <w:rsid w:val="002D31B4"/>
    <w:rsid w:val="002D4316"/>
    <w:rsid w:val="002D4547"/>
    <w:rsid w:val="002D524E"/>
    <w:rsid w:val="002E09B5"/>
    <w:rsid w:val="002E3435"/>
    <w:rsid w:val="002E6DFE"/>
    <w:rsid w:val="002F4265"/>
    <w:rsid w:val="002F6EFD"/>
    <w:rsid w:val="003022CB"/>
    <w:rsid w:val="00302740"/>
    <w:rsid w:val="00304676"/>
    <w:rsid w:val="00305BA6"/>
    <w:rsid w:val="00307307"/>
    <w:rsid w:val="00307E21"/>
    <w:rsid w:val="00311119"/>
    <w:rsid w:val="00311F35"/>
    <w:rsid w:val="003149C4"/>
    <w:rsid w:val="00317C3F"/>
    <w:rsid w:val="003226C8"/>
    <w:rsid w:val="003259D0"/>
    <w:rsid w:val="003341CB"/>
    <w:rsid w:val="00334711"/>
    <w:rsid w:val="00336186"/>
    <w:rsid w:val="00336DDE"/>
    <w:rsid w:val="003445B1"/>
    <w:rsid w:val="00345344"/>
    <w:rsid w:val="00346DEF"/>
    <w:rsid w:val="00350E9C"/>
    <w:rsid w:val="003511AC"/>
    <w:rsid w:val="00353DA8"/>
    <w:rsid w:val="00356CFF"/>
    <w:rsid w:val="00356FBF"/>
    <w:rsid w:val="003604B5"/>
    <w:rsid w:val="00372461"/>
    <w:rsid w:val="00373EEB"/>
    <w:rsid w:val="00374051"/>
    <w:rsid w:val="00374A0F"/>
    <w:rsid w:val="00374DCD"/>
    <w:rsid w:val="00375153"/>
    <w:rsid w:val="00375174"/>
    <w:rsid w:val="0038034D"/>
    <w:rsid w:val="00385188"/>
    <w:rsid w:val="00387A62"/>
    <w:rsid w:val="00395E39"/>
    <w:rsid w:val="003A2928"/>
    <w:rsid w:val="003B0709"/>
    <w:rsid w:val="003B31CF"/>
    <w:rsid w:val="003B37C7"/>
    <w:rsid w:val="003B3F2B"/>
    <w:rsid w:val="003B763F"/>
    <w:rsid w:val="003B7EDB"/>
    <w:rsid w:val="003D11B8"/>
    <w:rsid w:val="003E0480"/>
    <w:rsid w:val="003E1A35"/>
    <w:rsid w:val="003E2673"/>
    <w:rsid w:val="003E301C"/>
    <w:rsid w:val="003E557D"/>
    <w:rsid w:val="003F07C2"/>
    <w:rsid w:val="003F07F9"/>
    <w:rsid w:val="003F3CE7"/>
    <w:rsid w:val="003F46DC"/>
    <w:rsid w:val="00400FDC"/>
    <w:rsid w:val="00402D09"/>
    <w:rsid w:val="00412A2F"/>
    <w:rsid w:val="00413135"/>
    <w:rsid w:val="00417989"/>
    <w:rsid w:val="00422F3B"/>
    <w:rsid w:val="004278A9"/>
    <w:rsid w:val="00432734"/>
    <w:rsid w:val="00432CC9"/>
    <w:rsid w:val="00435B7A"/>
    <w:rsid w:val="004370F0"/>
    <w:rsid w:val="00440A85"/>
    <w:rsid w:val="00442B23"/>
    <w:rsid w:val="00442BD3"/>
    <w:rsid w:val="00444324"/>
    <w:rsid w:val="00450664"/>
    <w:rsid w:val="00450884"/>
    <w:rsid w:val="004579D9"/>
    <w:rsid w:val="00461462"/>
    <w:rsid w:val="00465549"/>
    <w:rsid w:val="00467A41"/>
    <w:rsid w:val="00471C11"/>
    <w:rsid w:val="0047363F"/>
    <w:rsid w:val="00477985"/>
    <w:rsid w:val="0048369F"/>
    <w:rsid w:val="00485146"/>
    <w:rsid w:val="00485334"/>
    <w:rsid w:val="004866B4"/>
    <w:rsid w:val="00487184"/>
    <w:rsid w:val="00490F56"/>
    <w:rsid w:val="004A5FC5"/>
    <w:rsid w:val="004B1905"/>
    <w:rsid w:val="004B1FA1"/>
    <w:rsid w:val="004B3E87"/>
    <w:rsid w:val="004B3F6A"/>
    <w:rsid w:val="004B4E1C"/>
    <w:rsid w:val="004B5ACD"/>
    <w:rsid w:val="004C4324"/>
    <w:rsid w:val="004C5923"/>
    <w:rsid w:val="004D4246"/>
    <w:rsid w:val="004D4DA6"/>
    <w:rsid w:val="004D6171"/>
    <w:rsid w:val="004D6DBB"/>
    <w:rsid w:val="004E1803"/>
    <w:rsid w:val="004E3574"/>
    <w:rsid w:val="004E39FA"/>
    <w:rsid w:val="004E42A2"/>
    <w:rsid w:val="004E4910"/>
    <w:rsid w:val="004E4BE5"/>
    <w:rsid w:val="004E70BD"/>
    <w:rsid w:val="004F4030"/>
    <w:rsid w:val="004F5DDD"/>
    <w:rsid w:val="004F60B4"/>
    <w:rsid w:val="00500212"/>
    <w:rsid w:val="00500D39"/>
    <w:rsid w:val="00504F12"/>
    <w:rsid w:val="00505B5E"/>
    <w:rsid w:val="00506918"/>
    <w:rsid w:val="005103C4"/>
    <w:rsid w:val="00510898"/>
    <w:rsid w:val="00510B4E"/>
    <w:rsid w:val="00514915"/>
    <w:rsid w:val="00515BF1"/>
    <w:rsid w:val="005165C7"/>
    <w:rsid w:val="005209D5"/>
    <w:rsid w:val="00523655"/>
    <w:rsid w:val="005240BF"/>
    <w:rsid w:val="00525D25"/>
    <w:rsid w:val="00527533"/>
    <w:rsid w:val="00530039"/>
    <w:rsid w:val="00535C5D"/>
    <w:rsid w:val="00536A8E"/>
    <w:rsid w:val="005379F6"/>
    <w:rsid w:val="00541B48"/>
    <w:rsid w:val="00542753"/>
    <w:rsid w:val="005439A1"/>
    <w:rsid w:val="00546A3F"/>
    <w:rsid w:val="00554463"/>
    <w:rsid w:val="00556227"/>
    <w:rsid w:val="00556A02"/>
    <w:rsid w:val="00557D06"/>
    <w:rsid w:val="0056083A"/>
    <w:rsid w:val="005611E0"/>
    <w:rsid w:val="005633F4"/>
    <w:rsid w:val="00571730"/>
    <w:rsid w:val="00573B03"/>
    <w:rsid w:val="00582596"/>
    <w:rsid w:val="0058426A"/>
    <w:rsid w:val="00586F5C"/>
    <w:rsid w:val="00590E48"/>
    <w:rsid w:val="00591306"/>
    <w:rsid w:val="00596463"/>
    <w:rsid w:val="00597D23"/>
    <w:rsid w:val="005A3317"/>
    <w:rsid w:val="005A5383"/>
    <w:rsid w:val="005A5EAB"/>
    <w:rsid w:val="005A693C"/>
    <w:rsid w:val="005B2586"/>
    <w:rsid w:val="005B2699"/>
    <w:rsid w:val="005C3117"/>
    <w:rsid w:val="005C4561"/>
    <w:rsid w:val="005D4A28"/>
    <w:rsid w:val="005D55FE"/>
    <w:rsid w:val="005E4EBD"/>
    <w:rsid w:val="005E5E4E"/>
    <w:rsid w:val="005F518A"/>
    <w:rsid w:val="005F66ED"/>
    <w:rsid w:val="00601C2B"/>
    <w:rsid w:val="00602C98"/>
    <w:rsid w:val="00606AF0"/>
    <w:rsid w:val="00606E56"/>
    <w:rsid w:val="006107D5"/>
    <w:rsid w:val="006266BA"/>
    <w:rsid w:val="0063164C"/>
    <w:rsid w:val="00631D55"/>
    <w:rsid w:val="00634F9D"/>
    <w:rsid w:val="00636E85"/>
    <w:rsid w:val="00644298"/>
    <w:rsid w:val="00650DAE"/>
    <w:rsid w:val="006570BC"/>
    <w:rsid w:val="00657818"/>
    <w:rsid w:val="00662FCD"/>
    <w:rsid w:val="00671FA7"/>
    <w:rsid w:val="006730E4"/>
    <w:rsid w:val="0067310B"/>
    <w:rsid w:val="00682C94"/>
    <w:rsid w:val="00684600"/>
    <w:rsid w:val="0068632B"/>
    <w:rsid w:val="0068683E"/>
    <w:rsid w:val="006A1497"/>
    <w:rsid w:val="006A30C5"/>
    <w:rsid w:val="006A70F2"/>
    <w:rsid w:val="006B07AD"/>
    <w:rsid w:val="006B1654"/>
    <w:rsid w:val="006B5FC2"/>
    <w:rsid w:val="006C3237"/>
    <w:rsid w:val="006D20D9"/>
    <w:rsid w:val="006D3769"/>
    <w:rsid w:val="006D5416"/>
    <w:rsid w:val="006E4117"/>
    <w:rsid w:val="006E42E5"/>
    <w:rsid w:val="006E5842"/>
    <w:rsid w:val="006E74E7"/>
    <w:rsid w:val="006F03DA"/>
    <w:rsid w:val="006F424E"/>
    <w:rsid w:val="006F64EF"/>
    <w:rsid w:val="007012B4"/>
    <w:rsid w:val="007020D8"/>
    <w:rsid w:val="007023CD"/>
    <w:rsid w:val="00705E6A"/>
    <w:rsid w:val="0070750E"/>
    <w:rsid w:val="00707A35"/>
    <w:rsid w:val="007117DF"/>
    <w:rsid w:val="00713FAC"/>
    <w:rsid w:val="00714D82"/>
    <w:rsid w:val="00715D7D"/>
    <w:rsid w:val="00722148"/>
    <w:rsid w:val="00723126"/>
    <w:rsid w:val="007242F9"/>
    <w:rsid w:val="00737D61"/>
    <w:rsid w:val="00747EB1"/>
    <w:rsid w:val="0075435C"/>
    <w:rsid w:val="00762ACC"/>
    <w:rsid w:val="00771B7C"/>
    <w:rsid w:val="00774084"/>
    <w:rsid w:val="00776787"/>
    <w:rsid w:val="00776D2A"/>
    <w:rsid w:val="007833CE"/>
    <w:rsid w:val="00785C86"/>
    <w:rsid w:val="00791992"/>
    <w:rsid w:val="007A16AB"/>
    <w:rsid w:val="007A1B53"/>
    <w:rsid w:val="007A361C"/>
    <w:rsid w:val="007A3D42"/>
    <w:rsid w:val="007A4F3A"/>
    <w:rsid w:val="007B0CCF"/>
    <w:rsid w:val="007B3470"/>
    <w:rsid w:val="007B3C8E"/>
    <w:rsid w:val="007C450B"/>
    <w:rsid w:val="007D0D07"/>
    <w:rsid w:val="007D12BF"/>
    <w:rsid w:val="007D4C56"/>
    <w:rsid w:val="007D677E"/>
    <w:rsid w:val="007F19B2"/>
    <w:rsid w:val="007F3894"/>
    <w:rsid w:val="008020E0"/>
    <w:rsid w:val="00806DDC"/>
    <w:rsid w:val="008125A8"/>
    <w:rsid w:val="00822454"/>
    <w:rsid w:val="00825161"/>
    <w:rsid w:val="0082601E"/>
    <w:rsid w:val="008326BD"/>
    <w:rsid w:val="00832F87"/>
    <w:rsid w:val="008405F4"/>
    <w:rsid w:val="008407E2"/>
    <w:rsid w:val="00847098"/>
    <w:rsid w:val="00847FB7"/>
    <w:rsid w:val="00850896"/>
    <w:rsid w:val="0085681A"/>
    <w:rsid w:val="008571A5"/>
    <w:rsid w:val="0086597A"/>
    <w:rsid w:val="00865A6D"/>
    <w:rsid w:val="00866FFB"/>
    <w:rsid w:val="00871CF2"/>
    <w:rsid w:val="00873F39"/>
    <w:rsid w:val="008809FC"/>
    <w:rsid w:val="00883541"/>
    <w:rsid w:val="00883B68"/>
    <w:rsid w:val="00883D5C"/>
    <w:rsid w:val="008844FA"/>
    <w:rsid w:val="00887BFF"/>
    <w:rsid w:val="0089471E"/>
    <w:rsid w:val="008960BE"/>
    <w:rsid w:val="008A2EB3"/>
    <w:rsid w:val="008A3BD0"/>
    <w:rsid w:val="008A64FB"/>
    <w:rsid w:val="008A6A5F"/>
    <w:rsid w:val="008B0BFB"/>
    <w:rsid w:val="008B334F"/>
    <w:rsid w:val="008B66FC"/>
    <w:rsid w:val="008C488E"/>
    <w:rsid w:val="008C7624"/>
    <w:rsid w:val="008D02E3"/>
    <w:rsid w:val="008D46BD"/>
    <w:rsid w:val="008D537A"/>
    <w:rsid w:val="008D6259"/>
    <w:rsid w:val="008D6702"/>
    <w:rsid w:val="008E26C3"/>
    <w:rsid w:val="008E67B3"/>
    <w:rsid w:val="008F00CB"/>
    <w:rsid w:val="008F09CE"/>
    <w:rsid w:val="008F3D55"/>
    <w:rsid w:val="008F5E02"/>
    <w:rsid w:val="008F76B0"/>
    <w:rsid w:val="008F790F"/>
    <w:rsid w:val="00902085"/>
    <w:rsid w:val="009027D8"/>
    <w:rsid w:val="00907522"/>
    <w:rsid w:val="00912338"/>
    <w:rsid w:val="00913917"/>
    <w:rsid w:val="009139C8"/>
    <w:rsid w:val="00915703"/>
    <w:rsid w:val="00920757"/>
    <w:rsid w:val="0092098D"/>
    <w:rsid w:val="0092204B"/>
    <w:rsid w:val="00923A08"/>
    <w:rsid w:val="00923EA9"/>
    <w:rsid w:val="009248FF"/>
    <w:rsid w:val="00927B4F"/>
    <w:rsid w:val="00927D37"/>
    <w:rsid w:val="009318D6"/>
    <w:rsid w:val="00932045"/>
    <w:rsid w:val="009324BA"/>
    <w:rsid w:val="00933D59"/>
    <w:rsid w:val="00942CA6"/>
    <w:rsid w:val="009503BA"/>
    <w:rsid w:val="00952026"/>
    <w:rsid w:val="009574A4"/>
    <w:rsid w:val="00960310"/>
    <w:rsid w:val="0096363B"/>
    <w:rsid w:val="009664C9"/>
    <w:rsid w:val="009674D8"/>
    <w:rsid w:val="0097318B"/>
    <w:rsid w:val="0097490F"/>
    <w:rsid w:val="00975AD0"/>
    <w:rsid w:val="009801A9"/>
    <w:rsid w:val="00980AD9"/>
    <w:rsid w:val="009837A1"/>
    <w:rsid w:val="009865FF"/>
    <w:rsid w:val="00990E38"/>
    <w:rsid w:val="00992934"/>
    <w:rsid w:val="00994A26"/>
    <w:rsid w:val="00996135"/>
    <w:rsid w:val="009A15C3"/>
    <w:rsid w:val="009A4E23"/>
    <w:rsid w:val="009B3366"/>
    <w:rsid w:val="009B6421"/>
    <w:rsid w:val="009B7C0A"/>
    <w:rsid w:val="009C033C"/>
    <w:rsid w:val="009C4523"/>
    <w:rsid w:val="009C6158"/>
    <w:rsid w:val="009C7FF4"/>
    <w:rsid w:val="009D031D"/>
    <w:rsid w:val="009D35A6"/>
    <w:rsid w:val="009D4891"/>
    <w:rsid w:val="009D6CDE"/>
    <w:rsid w:val="009D7DE9"/>
    <w:rsid w:val="009E232D"/>
    <w:rsid w:val="009E4B4A"/>
    <w:rsid w:val="009F02B1"/>
    <w:rsid w:val="00A004F3"/>
    <w:rsid w:val="00A017B9"/>
    <w:rsid w:val="00A07EA7"/>
    <w:rsid w:val="00A1557B"/>
    <w:rsid w:val="00A17816"/>
    <w:rsid w:val="00A20BA8"/>
    <w:rsid w:val="00A2138D"/>
    <w:rsid w:val="00A26CFD"/>
    <w:rsid w:val="00A31944"/>
    <w:rsid w:val="00A3297D"/>
    <w:rsid w:val="00A37770"/>
    <w:rsid w:val="00A42392"/>
    <w:rsid w:val="00A455B2"/>
    <w:rsid w:val="00A45D8B"/>
    <w:rsid w:val="00A45ED8"/>
    <w:rsid w:val="00A476E3"/>
    <w:rsid w:val="00A47FC8"/>
    <w:rsid w:val="00A50D95"/>
    <w:rsid w:val="00A5242F"/>
    <w:rsid w:val="00A54BDB"/>
    <w:rsid w:val="00A611E2"/>
    <w:rsid w:val="00A62177"/>
    <w:rsid w:val="00A6298F"/>
    <w:rsid w:val="00A631EB"/>
    <w:rsid w:val="00A632E3"/>
    <w:rsid w:val="00A638D9"/>
    <w:rsid w:val="00A64B16"/>
    <w:rsid w:val="00A66755"/>
    <w:rsid w:val="00A769DE"/>
    <w:rsid w:val="00A77539"/>
    <w:rsid w:val="00A8052D"/>
    <w:rsid w:val="00A828E4"/>
    <w:rsid w:val="00A86380"/>
    <w:rsid w:val="00A95D8A"/>
    <w:rsid w:val="00A9659C"/>
    <w:rsid w:val="00A96C4D"/>
    <w:rsid w:val="00AA4668"/>
    <w:rsid w:val="00AB0961"/>
    <w:rsid w:val="00AB23F9"/>
    <w:rsid w:val="00AB28EF"/>
    <w:rsid w:val="00AB4C4F"/>
    <w:rsid w:val="00AD1D66"/>
    <w:rsid w:val="00AD1D9C"/>
    <w:rsid w:val="00AE00DB"/>
    <w:rsid w:val="00AE15A7"/>
    <w:rsid w:val="00AE23F5"/>
    <w:rsid w:val="00AE2BEF"/>
    <w:rsid w:val="00AE7C07"/>
    <w:rsid w:val="00AF408F"/>
    <w:rsid w:val="00AF7C2B"/>
    <w:rsid w:val="00B034E9"/>
    <w:rsid w:val="00B11CBF"/>
    <w:rsid w:val="00B1556F"/>
    <w:rsid w:val="00B16628"/>
    <w:rsid w:val="00B23580"/>
    <w:rsid w:val="00B23F15"/>
    <w:rsid w:val="00B31902"/>
    <w:rsid w:val="00B326F3"/>
    <w:rsid w:val="00B43E59"/>
    <w:rsid w:val="00B5270F"/>
    <w:rsid w:val="00B52DE1"/>
    <w:rsid w:val="00B54130"/>
    <w:rsid w:val="00B569BB"/>
    <w:rsid w:val="00B60636"/>
    <w:rsid w:val="00B6314B"/>
    <w:rsid w:val="00B63F8D"/>
    <w:rsid w:val="00B64008"/>
    <w:rsid w:val="00B6603A"/>
    <w:rsid w:val="00B73017"/>
    <w:rsid w:val="00B801E4"/>
    <w:rsid w:val="00B8191C"/>
    <w:rsid w:val="00B861EC"/>
    <w:rsid w:val="00B861F1"/>
    <w:rsid w:val="00B8675D"/>
    <w:rsid w:val="00B90954"/>
    <w:rsid w:val="00B923BA"/>
    <w:rsid w:val="00B924C5"/>
    <w:rsid w:val="00B94193"/>
    <w:rsid w:val="00B96AF1"/>
    <w:rsid w:val="00BA21AF"/>
    <w:rsid w:val="00BA2857"/>
    <w:rsid w:val="00BA3A55"/>
    <w:rsid w:val="00BA73D1"/>
    <w:rsid w:val="00BB027B"/>
    <w:rsid w:val="00BB0AF9"/>
    <w:rsid w:val="00BB2CA5"/>
    <w:rsid w:val="00BB761F"/>
    <w:rsid w:val="00BC084C"/>
    <w:rsid w:val="00BD560E"/>
    <w:rsid w:val="00BD62B4"/>
    <w:rsid w:val="00BE08BE"/>
    <w:rsid w:val="00BE202D"/>
    <w:rsid w:val="00BE3BD1"/>
    <w:rsid w:val="00BE5D90"/>
    <w:rsid w:val="00BE5DB8"/>
    <w:rsid w:val="00BF12D3"/>
    <w:rsid w:val="00BF2C5D"/>
    <w:rsid w:val="00BF4673"/>
    <w:rsid w:val="00BF5B49"/>
    <w:rsid w:val="00BF6616"/>
    <w:rsid w:val="00C00D34"/>
    <w:rsid w:val="00C00E11"/>
    <w:rsid w:val="00C012AD"/>
    <w:rsid w:val="00C04D0E"/>
    <w:rsid w:val="00C13B14"/>
    <w:rsid w:val="00C14237"/>
    <w:rsid w:val="00C16D10"/>
    <w:rsid w:val="00C23988"/>
    <w:rsid w:val="00C33D1B"/>
    <w:rsid w:val="00C404D5"/>
    <w:rsid w:val="00C41F93"/>
    <w:rsid w:val="00C45BF9"/>
    <w:rsid w:val="00C47B19"/>
    <w:rsid w:val="00C63D98"/>
    <w:rsid w:val="00C6449F"/>
    <w:rsid w:val="00C6543C"/>
    <w:rsid w:val="00C70858"/>
    <w:rsid w:val="00C71F2F"/>
    <w:rsid w:val="00C721A6"/>
    <w:rsid w:val="00C753E7"/>
    <w:rsid w:val="00C80DE5"/>
    <w:rsid w:val="00C85D9F"/>
    <w:rsid w:val="00C93F05"/>
    <w:rsid w:val="00CA1CD9"/>
    <w:rsid w:val="00CA2506"/>
    <w:rsid w:val="00CA381D"/>
    <w:rsid w:val="00CA50A1"/>
    <w:rsid w:val="00CB610A"/>
    <w:rsid w:val="00CC067D"/>
    <w:rsid w:val="00CC3B06"/>
    <w:rsid w:val="00CC4249"/>
    <w:rsid w:val="00CC55E3"/>
    <w:rsid w:val="00CC622B"/>
    <w:rsid w:val="00CD01F2"/>
    <w:rsid w:val="00CD0584"/>
    <w:rsid w:val="00CD0810"/>
    <w:rsid w:val="00CD0E91"/>
    <w:rsid w:val="00CD2A3E"/>
    <w:rsid w:val="00CD5124"/>
    <w:rsid w:val="00CE0438"/>
    <w:rsid w:val="00CE10C7"/>
    <w:rsid w:val="00CE23A7"/>
    <w:rsid w:val="00CE4CA2"/>
    <w:rsid w:val="00CE7525"/>
    <w:rsid w:val="00D03237"/>
    <w:rsid w:val="00D1327B"/>
    <w:rsid w:val="00D134F4"/>
    <w:rsid w:val="00D140D0"/>
    <w:rsid w:val="00D1430C"/>
    <w:rsid w:val="00D14599"/>
    <w:rsid w:val="00D14CD2"/>
    <w:rsid w:val="00D21CC6"/>
    <w:rsid w:val="00D24F39"/>
    <w:rsid w:val="00D30A86"/>
    <w:rsid w:val="00D31565"/>
    <w:rsid w:val="00D33A1B"/>
    <w:rsid w:val="00D33AF4"/>
    <w:rsid w:val="00D567FE"/>
    <w:rsid w:val="00D654C3"/>
    <w:rsid w:val="00D66085"/>
    <w:rsid w:val="00D6679E"/>
    <w:rsid w:val="00D66A9C"/>
    <w:rsid w:val="00D72145"/>
    <w:rsid w:val="00D74D06"/>
    <w:rsid w:val="00D77237"/>
    <w:rsid w:val="00D84490"/>
    <w:rsid w:val="00D84CFE"/>
    <w:rsid w:val="00D8515D"/>
    <w:rsid w:val="00D856B5"/>
    <w:rsid w:val="00D8747D"/>
    <w:rsid w:val="00DA128B"/>
    <w:rsid w:val="00DB0E39"/>
    <w:rsid w:val="00DB27CF"/>
    <w:rsid w:val="00DB7691"/>
    <w:rsid w:val="00DD633B"/>
    <w:rsid w:val="00DD6B47"/>
    <w:rsid w:val="00DE7B31"/>
    <w:rsid w:val="00DF3F26"/>
    <w:rsid w:val="00DF466D"/>
    <w:rsid w:val="00DF6E6C"/>
    <w:rsid w:val="00E07035"/>
    <w:rsid w:val="00E109C8"/>
    <w:rsid w:val="00E15990"/>
    <w:rsid w:val="00E17EFE"/>
    <w:rsid w:val="00E17F44"/>
    <w:rsid w:val="00E23BA6"/>
    <w:rsid w:val="00E24C17"/>
    <w:rsid w:val="00E2748C"/>
    <w:rsid w:val="00E324E6"/>
    <w:rsid w:val="00E34816"/>
    <w:rsid w:val="00E37444"/>
    <w:rsid w:val="00E42EE2"/>
    <w:rsid w:val="00E47164"/>
    <w:rsid w:val="00E50482"/>
    <w:rsid w:val="00E56053"/>
    <w:rsid w:val="00E607D2"/>
    <w:rsid w:val="00E63DE5"/>
    <w:rsid w:val="00E64055"/>
    <w:rsid w:val="00E66B9B"/>
    <w:rsid w:val="00E66F1A"/>
    <w:rsid w:val="00E71F20"/>
    <w:rsid w:val="00E7455C"/>
    <w:rsid w:val="00E77A16"/>
    <w:rsid w:val="00E77C82"/>
    <w:rsid w:val="00E82834"/>
    <w:rsid w:val="00E85622"/>
    <w:rsid w:val="00E864F2"/>
    <w:rsid w:val="00E877C5"/>
    <w:rsid w:val="00E91EA3"/>
    <w:rsid w:val="00E9358F"/>
    <w:rsid w:val="00E94FCE"/>
    <w:rsid w:val="00EA025E"/>
    <w:rsid w:val="00EA086A"/>
    <w:rsid w:val="00EA0F51"/>
    <w:rsid w:val="00EA425F"/>
    <w:rsid w:val="00EA71C4"/>
    <w:rsid w:val="00EB2985"/>
    <w:rsid w:val="00EC19E8"/>
    <w:rsid w:val="00EC3785"/>
    <w:rsid w:val="00EC69C1"/>
    <w:rsid w:val="00ED23B9"/>
    <w:rsid w:val="00ED537A"/>
    <w:rsid w:val="00EE0DB6"/>
    <w:rsid w:val="00EF2406"/>
    <w:rsid w:val="00EF39FE"/>
    <w:rsid w:val="00EF6660"/>
    <w:rsid w:val="00F01BF5"/>
    <w:rsid w:val="00F045FB"/>
    <w:rsid w:val="00F05433"/>
    <w:rsid w:val="00F0617D"/>
    <w:rsid w:val="00F065A3"/>
    <w:rsid w:val="00F1166F"/>
    <w:rsid w:val="00F12AD4"/>
    <w:rsid w:val="00F1558C"/>
    <w:rsid w:val="00F20D12"/>
    <w:rsid w:val="00F21982"/>
    <w:rsid w:val="00F25187"/>
    <w:rsid w:val="00F25825"/>
    <w:rsid w:val="00F25D38"/>
    <w:rsid w:val="00F317D9"/>
    <w:rsid w:val="00F34747"/>
    <w:rsid w:val="00F34EC4"/>
    <w:rsid w:val="00F363E2"/>
    <w:rsid w:val="00F52DF9"/>
    <w:rsid w:val="00F612A0"/>
    <w:rsid w:val="00F62499"/>
    <w:rsid w:val="00F641B6"/>
    <w:rsid w:val="00F71BAA"/>
    <w:rsid w:val="00F7503C"/>
    <w:rsid w:val="00F8045C"/>
    <w:rsid w:val="00F83B6C"/>
    <w:rsid w:val="00F8571E"/>
    <w:rsid w:val="00F91336"/>
    <w:rsid w:val="00F91DEE"/>
    <w:rsid w:val="00F93852"/>
    <w:rsid w:val="00F93A70"/>
    <w:rsid w:val="00F94135"/>
    <w:rsid w:val="00F95EDC"/>
    <w:rsid w:val="00FA2506"/>
    <w:rsid w:val="00FA2B40"/>
    <w:rsid w:val="00FA7DD5"/>
    <w:rsid w:val="00FB0FCD"/>
    <w:rsid w:val="00FB1DD2"/>
    <w:rsid w:val="00FB2687"/>
    <w:rsid w:val="00FB5A65"/>
    <w:rsid w:val="00FC4C16"/>
    <w:rsid w:val="00FC6BAD"/>
    <w:rsid w:val="00FC6D7A"/>
    <w:rsid w:val="00FD279F"/>
    <w:rsid w:val="00FD4BC6"/>
    <w:rsid w:val="00FD5856"/>
    <w:rsid w:val="00FD7B17"/>
    <w:rsid w:val="00FE1CE5"/>
    <w:rsid w:val="00FE3894"/>
    <w:rsid w:val="00FF1589"/>
    <w:rsid w:val="00FF2E76"/>
    <w:rsid w:val="00FF374A"/>
    <w:rsid w:val="00FF526A"/>
    <w:rsid w:val="02088A21"/>
    <w:rsid w:val="027AB163"/>
    <w:rsid w:val="071A24E8"/>
    <w:rsid w:val="0CE87541"/>
    <w:rsid w:val="1068F81D"/>
    <w:rsid w:val="1088139F"/>
    <w:rsid w:val="15014BD7"/>
    <w:rsid w:val="169D1C38"/>
    <w:rsid w:val="19108EB8"/>
    <w:rsid w:val="1A00C301"/>
    <w:rsid w:val="1E0020AF"/>
    <w:rsid w:val="1F3C6DD4"/>
    <w:rsid w:val="24E96650"/>
    <w:rsid w:val="25518B6B"/>
    <w:rsid w:val="260B3294"/>
    <w:rsid w:val="30AAF57F"/>
    <w:rsid w:val="3B6B6497"/>
    <w:rsid w:val="3C0BB957"/>
    <w:rsid w:val="3C496634"/>
    <w:rsid w:val="4559EE51"/>
    <w:rsid w:val="47C803FF"/>
    <w:rsid w:val="4804084B"/>
    <w:rsid w:val="492995DF"/>
    <w:rsid w:val="4AF13BD4"/>
    <w:rsid w:val="5165F0B6"/>
    <w:rsid w:val="52504DB5"/>
    <w:rsid w:val="52E6F14E"/>
    <w:rsid w:val="53FE68C4"/>
    <w:rsid w:val="54F8B234"/>
    <w:rsid w:val="5A4E9E73"/>
    <w:rsid w:val="5A86CB23"/>
    <w:rsid w:val="5CE4552B"/>
    <w:rsid w:val="5D41B183"/>
    <w:rsid w:val="5E230AE5"/>
    <w:rsid w:val="5F5AA3FB"/>
    <w:rsid w:val="60A4B79A"/>
    <w:rsid w:val="62C94D4B"/>
    <w:rsid w:val="63DC585C"/>
    <w:rsid w:val="64147D61"/>
    <w:rsid w:val="689AE88B"/>
    <w:rsid w:val="69421976"/>
    <w:rsid w:val="6FC3F1F4"/>
    <w:rsid w:val="7170CAA5"/>
    <w:rsid w:val="74720CB4"/>
    <w:rsid w:val="764F629A"/>
    <w:rsid w:val="767900C5"/>
    <w:rsid w:val="79B9B03C"/>
    <w:rsid w:val="7E01FC0C"/>
    <w:rsid w:val="7EF81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BD3439"/>
  <w15:docId w15:val="{D96C5DB8-2BCF-4BE3-80FF-EE53D253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E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26A"/>
    <w:pPr>
      <w:keepNext/>
      <w:keepLines/>
      <w:spacing w:before="480"/>
      <w:outlineLvl w:val="0"/>
    </w:pPr>
    <w:rPr>
      <w:rFonts w:ascii="Calibri" w:eastAsia="MS Gothic" w:hAnsi="Calibri"/>
      <w:b/>
      <w:bCs/>
      <w:color w:val="3D32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526A"/>
    <w:pPr>
      <w:keepNext/>
      <w:keepLines/>
      <w:spacing w:before="200"/>
      <w:outlineLvl w:val="1"/>
    </w:pPr>
    <w:rPr>
      <w:rFonts w:ascii="Calibri" w:eastAsia="MS Gothic" w:hAnsi="Calibri"/>
      <w:b/>
      <w:bCs/>
      <w:color w:val="5747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26A"/>
    <w:pPr>
      <w:keepNext/>
      <w:keepLines/>
      <w:spacing w:before="200"/>
      <w:outlineLvl w:val="2"/>
    </w:pPr>
    <w:rPr>
      <w:rFonts w:ascii="Calibri" w:eastAsia="MS Gothic" w:hAnsi="Calibri"/>
      <w:b/>
      <w:bCs/>
      <w:color w:val="57475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26A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57475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526A"/>
    <w:pPr>
      <w:keepNext/>
      <w:keepLines/>
      <w:spacing w:before="200"/>
      <w:outlineLvl w:val="4"/>
    </w:pPr>
    <w:rPr>
      <w:rFonts w:ascii="Calibri" w:eastAsia="MS Gothic" w:hAnsi="Calibri"/>
      <w:color w:val="2B232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7E2"/>
  </w:style>
  <w:style w:type="paragraph" w:styleId="Footer">
    <w:name w:val="footer"/>
    <w:basedOn w:val="Normal"/>
    <w:link w:val="FooterChar"/>
    <w:uiPriority w:val="99"/>
    <w:unhideWhenUsed/>
    <w:rsid w:val="008407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7E2"/>
  </w:style>
  <w:style w:type="character" w:customStyle="1" w:styleId="Heading1Char">
    <w:name w:val="Heading 1 Char"/>
    <w:link w:val="Heading1"/>
    <w:uiPriority w:val="9"/>
    <w:rsid w:val="00FF526A"/>
    <w:rPr>
      <w:rFonts w:ascii="Calibri" w:eastAsia="MS Gothic" w:hAnsi="Calibri" w:cs="Times New Roman"/>
      <w:b/>
      <w:bCs/>
      <w:color w:val="3D323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526A"/>
    <w:pPr>
      <w:spacing w:line="276" w:lineRule="auto"/>
      <w:outlineLvl w:val="9"/>
    </w:pPr>
    <w:rPr>
      <w:color w:val="40354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2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526A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B0FCD"/>
    <w:pPr>
      <w:spacing w:before="120"/>
    </w:pPr>
    <w:rPr>
      <w:rFonts w:ascii="Arial" w:hAnsi="Arial"/>
      <w:b/>
      <w:color w:val="574759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FB0FCD"/>
    <w:pPr>
      <w:ind w:left="720"/>
    </w:pPr>
    <w:rPr>
      <w:rFonts w:ascii="Arial" w:hAnsi="Arial"/>
      <w:color w:val="574759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B0FCD"/>
    <w:pPr>
      <w:ind w:left="1440"/>
    </w:pPr>
    <w:rPr>
      <w:rFonts w:ascii="Arial" w:hAnsi="Arial"/>
      <w:i/>
      <w:color w:val="574759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F526A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customStyle="1" w:styleId="Heading2Char">
    <w:name w:val="Heading 2 Char"/>
    <w:link w:val="Heading2"/>
    <w:uiPriority w:val="9"/>
    <w:rsid w:val="00FF526A"/>
    <w:rPr>
      <w:rFonts w:ascii="Calibri" w:eastAsia="MS Gothic" w:hAnsi="Calibri" w:cs="Times New Roman"/>
      <w:b/>
      <w:bCs/>
      <w:color w:val="574759"/>
      <w:sz w:val="26"/>
      <w:szCs w:val="26"/>
    </w:rPr>
  </w:style>
  <w:style w:type="character" w:customStyle="1" w:styleId="Heading3Char">
    <w:name w:val="Heading 3 Char"/>
    <w:link w:val="Heading3"/>
    <w:uiPriority w:val="9"/>
    <w:rsid w:val="00FF526A"/>
    <w:rPr>
      <w:rFonts w:ascii="Calibri" w:eastAsia="MS Gothic" w:hAnsi="Calibri" w:cs="Times New Roman"/>
      <w:b/>
      <w:bCs/>
      <w:color w:val="574759"/>
    </w:rPr>
  </w:style>
  <w:style w:type="character" w:customStyle="1" w:styleId="Heading4Char">
    <w:name w:val="Heading 4 Char"/>
    <w:link w:val="Heading4"/>
    <w:uiPriority w:val="9"/>
    <w:rsid w:val="00FF526A"/>
    <w:rPr>
      <w:rFonts w:ascii="Calibri" w:eastAsia="MS Gothic" w:hAnsi="Calibri" w:cs="Times New Roman"/>
      <w:b/>
      <w:bCs/>
      <w:i/>
      <w:iCs/>
      <w:color w:val="574759"/>
    </w:rPr>
  </w:style>
  <w:style w:type="character" w:customStyle="1" w:styleId="Heading5Char">
    <w:name w:val="Heading 5 Char"/>
    <w:link w:val="Heading5"/>
    <w:uiPriority w:val="9"/>
    <w:rsid w:val="00FF526A"/>
    <w:rPr>
      <w:rFonts w:ascii="Calibri" w:eastAsia="MS Gothic" w:hAnsi="Calibri" w:cs="Times New Roman"/>
      <w:color w:val="2B232C"/>
    </w:rPr>
  </w:style>
  <w:style w:type="paragraph" w:customStyle="1" w:styleId="OCCBody">
    <w:name w:val="OCC_Body"/>
    <w:qFormat/>
    <w:rsid w:val="00F91DEE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customStyle="1" w:styleId="OCCHeader">
    <w:name w:val="OCC_Header"/>
    <w:next w:val="OCCBody"/>
    <w:uiPriority w:val="1"/>
    <w:qFormat/>
    <w:rsid w:val="002D1145"/>
    <w:pPr>
      <w:keepNext/>
      <w:spacing w:after="100" w:line="300" w:lineRule="exact"/>
    </w:pPr>
    <w:rPr>
      <w:rFonts w:ascii="Arial" w:hAnsi="Arial"/>
      <w:b/>
      <w:bCs/>
      <w:color w:val="574759"/>
      <w:sz w:val="22"/>
      <w:szCs w:val="21"/>
      <w:lang w:eastAsia="en-US"/>
    </w:rPr>
  </w:style>
  <w:style w:type="paragraph" w:customStyle="1" w:styleId="OCCBullets">
    <w:name w:val="OCC_Bullets"/>
    <w:basedOn w:val="OCCBody"/>
    <w:uiPriority w:val="1"/>
    <w:qFormat/>
    <w:rsid w:val="00F91DEE"/>
    <w:pPr>
      <w:numPr>
        <w:numId w:val="1"/>
      </w:numPr>
    </w:pPr>
  </w:style>
  <w:style w:type="paragraph" w:customStyle="1" w:styleId="OCCCoverPage1">
    <w:name w:val="OCC_Cover Page 1"/>
    <w:next w:val="OCCCoverPage2"/>
    <w:qFormat/>
    <w:rsid w:val="000526AD"/>
    <w:rPr>
      <w:rFonts w:ascii="Arial" w:hAnsi="Arial"/>
      <w:b/>
      <w:color w:val="574759"/>
      <w:sz w:val="72"/>
      <w:szCs w:val="24"/>
      <w:lang w:val="en-US" w:eastAsia="en-US"/>
    </w:rPr>
  </w:style>
  <w:style w:type="paragraph" w:customStyle="1" w:styleId="OCCCoverPage2">
    <w:name w:val="OCC_Cover Page 2"/>
    <w:basedOn w:val="OCCCoverPage1"/>
    <w:next w:val="OCCBody"/>
    <w:uiPriority w:val="1"/>
    <w:qFormat/>
    <w:rsid w:val="00F91DEE"/>
    <w:pPr>
      <w:spacing w:line="520" w:lineRule="exact"/>
    </w:pPr>
    <w:rPr>
      <w:b w:val="0"/>
      <w:sz w:val="32"/>
    </w:rPr>
  </w:style>
  <w:style w:type="paragraph" w:styleId="ListParagraph">
    <w:name w:val="List Paragraph"/>
    <w:basedOn w:val="Normal"/>
    <w:uiPriority w:val="34"/>
    <w:qFormat/>
    <w:rsid w:val="00CC4249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0F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B0FCD"/>
    <w:rPr>
      <w:rFonts w:ascii="Tahoma" w:hAnsi="Tahoma" w:cs="Tahoma"/>
      <w:sz w:val="16"/>
      <w:szCs w:val="16"/>
    </w:rPr>
  </w:style>
  <w:style w:type="paragraph" w:customStyle="1" w:styleId="OCCsubHeader">
    <w:name w:val="OCC_sub_Header"/>
    <w:basedOn w:val="OCCHeader"/>
    <w:next w:val="OCCBody"/>
    <w:qFormat/>
    <w:rsid w:val="00FB0FCD"/>
    <w:rPr>
      <w:b w:val="0"/>
    </w:rPr>
  </w:style>
  <w:style w:type="paragraph" w:customStyle="1" w:styleId="OCCsubsubHeader">
    <w:name w:val="OCC_sub_sub_Header"/>
    <w:basedOn w:val="OCCsubHeader"/>
    <w:next w:val="OCCBody"/>
    <w:qFormat/>
    <w:rsid w:val="00FB0FCD"/>
    <w:rPr>
      <w:i/>
    </w:rPr>
  </w:style>
  <w:style w:type="character" w:styleId="Hyperlink">
    <w:name w:val="Hyperlink"/>
    <w:uiPriority w:val="99"/>
    <w:unhideWhenUsed/>
    <w:rsid w:val="00F7503C"/>
    <w:rPr>
      <w:color w:val="00A2A4"/>
      <w:u w:val="single"/>
    </w:rPr>
  </w:style>
  <w:style w:type="table" w:styleId="TableGrid">
    <w:name w:val="Table Grid"/>
    <w:basedOn w:val="TableNormal"/>
    <w:uiPriority w:val="59"/>
    <w:rsid w:val="00BA285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2601E"/>
    <w:rPr>
      <w:sz w:val="18"/>
      <w:szCs w:val="18"/>
    </w:rPr>
  </w:style>
  <w:style w:type="paragraph" w:styleId="ListBullet">
    <w:name w:val="List Bullet"/>
    <w:basedOn w:val="Normal"/>
    <w:rsid w:val="00883D5C"/>
    <w:pPr>
      <w:numPr>
        <w:numId w:val="2"/>
      </w:numPr>
    </w:pPr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C033C"/>
  </w:style>
  <w:style w:type="paragraph" w:customStyle="1" w:styleId="Default">
    <w:name w:val="Default"/>
    <w:rsid w:val="006E4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">
    <w:name w:val="Body"/>
    <w:rsid w:val="005379F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paragraph">
    <w:name w:val="paragraph"/>
    <w:basedOn w:val="Normal"/>
    <w:rsid w:val="006107D5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6107D5"/>
  </w:style>
  <w:style w:type="character" w:customStyle="1" w:styleId="eop">
    <w:name w:val="eop"/>
    <w:basedOn w:val="DefaultParagraphFont"/>
    <w:rsid w:val="006107D5"/>
  </w:style>
  <w:style w:type="paragraph" w:styleId="NoSpacing">
    <w:name w:val="No Spacing"/>
    <w:uiPriority w:val="1"/>
    <w:qFormat/>
    <w:rsid w:val="005209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eeForm">
    <w:name w:val="Free Form"/>
    <w:rsid w:val="003F07F9"/>
    <w:rPr>
      <w:rFonts w:ascii="Times New Roman" w:eastAsia="ヒラギノ角ゴ Pro W3" w:hAnsi="Times New Roman"/>
      <w:color w:val="000000"/>
    </w:rPr>
  </w:style>
  <w:style w:type="paragraph" w:customStyle="1" w:styleId="BodyAA">
    <w:name w:val="Body A A"/>
    <w:rsid w:val="003F07F9"/>
    <w:rPr>
      <w:rFonts w:ascii="Helvetica" w:eastAsia="ヒラギノ角ゴ Pro W3" w:hAnsi="Helvetica"/>
      <w:color w:val="000000"/>
      <w:sz w:val="22"/>
    </w:rPr>
  </w:style>
  <w:style w:type="table" w:styleId="GridTable4-Accent2">
    <w:name w:val="Grid Table 4 Accent 2"/>
    <w:basedOn w:val="TableNormal"/>
    <w:uiPriority w:val="49"/>
    <w:tblPr>
      <w:tblStyleRowBandSize w:val="1"/>
      <w:tblStyleColBandSize w:val="1"/>
      <w:tblBorders>
        <w:top w:val="single" w:sz="4" w:space="0" w:color="F47395" w:themeColor="accent2" w:themeTint="99"/>
        <w:left w:val="single" w:sz="4" w:space="0" w:color="F47395" w:themeColor="accent2" w:themeTint="99"/>
        <w:bottom w:val="single" w:sz="4" w:space="0" w:color="F47395" w:themeColor="accent2" w:themeTint="99"/>
        <w:right w:val="single" w:sz="4" w:space="0" w:color="F47395" w:themeColor="accent2" w:themeTint="99"/>
        <w:insideH w:val="single" w:sz="4" w:space="0" w:color="F47395" w:themeColor="accent2" w:themeTint="99"/>
        <w:insideV w:val="single" w:sz="4" w:space="0" w:color="F473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1651" w:themeColor="accent2"/>
          <w:left w:val="single" w:sz="4" w:space="0" w:color="ED1651" w:themeColor="accent2"/>
          <w:bottom w:val="single" w:sz="4" w:space="0" w:color="ED1651" w:themeColor="accent2"/>
          <w:right w:val="single" w:sz="4" w:space="0" w:color="ED1651" w:themeColor="accent2"/>
          <w:insideH w:val="nil"/>
          <w:insideV w:val="nil"/>
        </w:tcBorders>
        <w:shd w:val="clear" w:color="auto" w:fill="ED1651" w:themeFill="accent2"/>
      </w:tcPr>
    </w:tblStylePr>
    <w:tblStylePr w:type="lastRow">
      <w:rPr>
        <w:b/>
        <w:bCs/>
      </w:rPr>
      <w:tblPr/>
      <w:tcPr>
        <w:tcBorders>
          <w:top w:val="double" w:sz="4" w:space="0" w:color="ED16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DB" w:themeFill="accent2" w:themeFillTint="33"/>
      </w:tcPr>
    </w:tblStylePr>
    <w:tblStylePr w:type="band1Horz">
      <w:tblPr/>
      <w:tcPr>
        <w:shd w:val="clear" w:color="auto" w:fill="FBD0DB" w:themeFill="accent2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0F2823"/>
    <w:pPr>
      <w:widowControl w:val="0"/>
      <w:autoSpaceDE w:val="0"/>
      <w:autoSpaceDN w:val="0"/>
      <w:spacing w:before="117"/>
      <w:ind w:left="107"/>
    </w:pPr>
    <w:rPr>
      <w:rFonts w:ascii="Arial" w:eastAsia="Arial" w:hAnsi="Arial" w:cs="Arial"/>
      <w:sz w:val="22"/>
      <w:szCs w:val="22"/>
      <w:lang w:val="en-GB" w:eastAsia="en-GB" w:bidi="en-GB"/>
    </w:rPr>
  </w:style>
  <w:style w:type="character" w:customStyle="1" w:styleId="jsgrdq">
    <w:name w:val="jsgrdq"/>
    <w:basedOn w:val="DefaultParagraphFont"/>
    <w:rsid w:val="003E2673"/>
  </w:style>
  <w:style w:type="paragraph" w:styleId="CommentText">
    <w:name w:val="annotation text"/>
    <w:basedOn w:val="Normal"/>
    <w:link w:val="CommentTextChar"/>
    <w:uiPriority w:val="99"/>
    <w:unhideWhenUsed/>
    <w:rsid w:val="005439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9A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9A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C4561"/>
    <w:rPr>
      <w:sz w:val="24"/>
      <w:szCs w:val="24"/>
      <w:lang w:val="en-US" w:eastAsia="en-US"/>
    </w:rPr>
  </w:style>
  <w:style w:type="paragraph" w:customStyle="1" w:styleId="pf0">
    <w:name w:val="pf0"/>
    <w:basedOn w:val="Normal"/>
    <w:rsid w:val="00C04D0E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61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61EC"/>
    <w:rPr>
      <w:color w:val="00969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ne Car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64759"/>
      </a:accent1>
      <a:accent2>
        <a:srgbClr val="ED1651"/>
      </a:accent2>
      <a:accent3>
        <a:srgbClr val="F26522"/>
      </a:accent3>
      <a:accent4>
        <a:srgbClr val="007AC3"/>
      </a:accent4>
      <a:accent5>
        <a:srgbClr val="009698"/>
      </a:accent5>
      <a:accent6>
        <a:srgbClr val="A3238E"/>
      </a:accent6>
      <a:hlink>
        <a:srgbClr val="564759"/>
      </a:hlink>
      <a:folHlink>
        <a:srgbClr val="00969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76777-d4c6-493e-ad78-cb94e249733c" xsi:nil="true"/>
    <lcf76f155ced4ddcb4097134ff3c332f xmlns="6bc9c56c-b77d-47bd-84b1-30574bd730fc">
      <Terms xmlns="http://schemas.microsoft.com/office/infopath/2007/PartnerControls"/>
    </lcf76f155ced4ddcb4097134ff3c332f>
    <MediaLengthInSeconds xmlns="6bc9c56c-b77d-47bd-84b1-30574bd730fc" xsi:nil="true"/>
    <SharedWithUsers xmlns="89676777-d4c6-493e-ad78-cb94e249733c">
      <UserInfo>
        <DisplayName>Lauren Cooling</DisplayName>
        <AccountId>17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2CE1AD1C94A4790468398CC2E982D" ma:contentTypeVersion="15" ma:contentTypeDescription="Create a new document." ma:contentTypeScope="" ma:versionID="f5dfeae21c9d31a53425cb4045460aac">
  <xsd:schema xmlns:xsd="http://www.w3.org/2001/XMLSchema" xmlns:xs="http://www.w3.org/2001/XMLSchema" xmlns:p="http://schemas.microsoft.com/office/2006/metadata/properties" xmlns:ns2="6bc9c56c-b77d-47bd-84b1-30574bd730fc" xmlns:ns3="89676777-d4c6-493e-ad78-cb94e249733c" targetNamespace="http://schemas.microsoft.com/office/2006/metadata/properties" ma:root="true" ma:fieldsID="9b75806f1ea2e2cf45e2ad98a42191d9" ns2:_="" ns3:_="">
    <xsd:import namespace="6bc9c56c-b77d-47bd-84b1-30574bd730fc"/>
    <xsd:import namespace="89676777-d4c6-493e-ad78-cb94e2497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9c56c-b77d-47bd-84b1-30574bd7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346063a-9eeb-4263-8ee3-d52b5395d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6777-d4c6-493e-ad78-cb94e249733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4dfe7c-3caa-46ec-909b-430f24f9276d}" ma:internalName="TaxCatchAll" ma:showField="CatchAllData" ma:web="89676777-d4c6-493e-ad78-cb94e24973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DEC4AB-60FC-4FED-82EB-FF01320E5D89}">
  <ds:schemaRefs>
    <ds:schemaRef ds:uri="http://schemas.microsoft.com/office/2006/metadata/properties"/>
    <ds:schemaRef ds:uri="http://schemas.microsoft.com/office/infopath/2007/PartnerControls"/>
    <ds:schemaRef ds:uri="89676777-d4c6-493e-ad78-cb94e249733c"/>
    <ds:schemaRef ds:uri="6bc9c56c-b77d-47bd-84b1-30574bd730fc"/>
  </ds:schemaRefs>
</ds:datastoreItem>
</file>

<file path=customXml/itemProps2.xml><?xml version="1.0" encoding="utf-8"?>
<ds:datastoreItem xmlns:ds="http://schemas.openxmlformats.org/officeDocument/2006/customXml" ds:itemID="{35383B2B-50A1-4790-A7F1-E99DC1920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587B4E-B748-47F9-872B-E57958743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9c56c-b77d-47bd-84b1-30574bd730fc"/>
    <ds:schemaRef ds:uri="89676777-d4c6-493e-ad78-cb94e2497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BF8B8-E470-44E4-9CA7-0F4617B3F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4902</Characters>
  <Application>Microsoft Office Word</Application>
  <DocSecurity>0</DocSecurity>
  <Lines>40</Lines>
  <Paragraphs>11</Paragraphs>
  <ScaleCrop>false</ScaleCrop>
  <Company>The Group of Seven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Addison</dc:creator>
  <cp:keywords/>
  <dc:description>This template document sets out arrangements for producing initial service specifications for One Care Consortium services.</dc:description>
  <cp:lastModifiedBy>Lauren Cooling</cp:lastModifiedBy>
  <cp:revision>14</cp:revision>
  <cp:lastPrinted>2024-08-21T10:19:00Z</cp:lastPrinted>
  <dcterms:created xsi:type="dcterms:W3CDTF">2026-02-05T17:37:00Z</dcterms:created>
  <dcterms:modified xsi:type="dcterms:W3CDTF">2026-05-27T08:06:00Z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0x0101009E82CE1AD1C94A4790468398CC2E982D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